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D36" w:rsidRPr="0006101B" w:rsidRDefault="00282D36" w:rsidP="00282D36">
      <w:pPr>
        <w:pStyle w:val="Header"/>
        <w:keepLines/>
        <w:tabs>
          <w:tab w:val="right" w:pos="10440"/>
          <w:tab w:val="right" w:pos="13323"/>
        </w:tabs>
        <w:rPr>
          <w:rFonts w:cs="Arial"/>
          <w:sz w:val="24"/>
          <w:szCs w:val="24"/>
          <w:lang w:val="en-US" w:eastAsia="zh-CN"/>
        </w:rPr>
      </w:pPr>
      <w:r w:rsidRPr="0006101B">
        <w:rPr>
          <w:rFonts w:cs="Arial"/>
          <w:sz w:val="24"/>
          <w:szCs w:val="24"/>
        </w:rPr>
        <w:t xml:space="preserve">3GPP TSG-RAN WG4 Meeting # </w:t>
      </w:r>
      <w:r w:rsidR="00EB2F89" w:rsidRPr="0006101B">
        <w:rPr>
          <w:rFonts w:cs="Arial"/>
          <w:sz w:val="24"/>
          <w:szCs w:val="24"/>
        </w:rPr>
        <w:t>100</w:t>
      </w:r>
      <w:r w:rsidR="00783CE2" w:rsidRPr="0006101B">
        <w:rPr>
          <w:rFonts w:cs="Arial"/>
          <w:sz w:val="24"/>
          <w:szCs w:val="24"/>
        </w:rPr>
        <w:t>-</w:t>
      </w:r>
      <w:r w:rsidRPr="0006101B">
        <w:rPr>
          <w:rFonts w:cs="Arial"/>
          <w:sz w:val="24"/>
          <w:szCs w:val="24"/>
        </w:rPr>
        <w:t xml:space="preserve">e </w:t>
      </w:r>
      <w:r w:rsidRPr="0006101B">
        <w:rPr>
          <w:rFonts w:cs="Arial"/>
          <w:sz w:val="24"/>
          <w:szCs w:val="24"/>
        </w:rPr>
        <w:tab/>
      </w:r>
      <w:r w:rsidR="0006101B" w:rsidRPr="0006101B">
        <w:rPr>
          <w:rFonts w:cs="Arial"/>
          <w:bCs/>
          <w:sz w:val="24"/>
          <w:szCs w:val="24"/>
        </w:rPr>
        <w:t>R4-2112649</w:t>
      </w:r>
    </w:p>
    <w:p w:rsidR="00282D36" w:rsidRPr="0058244D" w:rsidRDefault="00282D36" w:rsidP="00282D36">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sidR="00783CE2">
        <w:rPr>
          <w:rFonts w:cs="Arial"/>
          <w:sz w:val="24"/>
          <w:szCs w:val="24"/>
          <w:lang w:eastAsia="zh-CN"/>
        </w:rPr>
        <w:t>1</w:t>
      </w:r>
      <w:r w:rsidR="00EB2F89">
        <w:rPr>
          <w:rFonts w:cs="Arial"/>
          <w:sz w:val="24"/>
          <w:szCs w:val="24"/>
          <w:lang w:eastAsia="zh-CN"/>
        </w:rPr>
        <w:t>6</w:t>
      </w:r>
      <w:r w:rsidRPr="0058244D">
        <w:rPr>
          <w:rFonts w:cs="Arial"/>
          <w:sz w:val="24"/>
          <w:szCs w:val="24"/>
          <w:vertAlign w:val="superscript"/>
          <w:lang w:eastAsia="zh-CN"/>
        </w:rPr>
        <w:t>th</w:t>
      </w:r>
      <w:r w:rsidRPr="0058244D">
        <w:rPr>
          <w:rFonts w:cs="Arial"/>
          <w:sz w:val="24"/>
          <w:szCs w:val="24"/>
          <w:lang w:eastAsia="zh-CN"/>
        </w:rPr>
        <w:t xml:space="preserve"> </w:t>
      </w:r>
      <w:r w:rsidR="00783CE2">
        <w:rPr>
          <w:rFonts w:cs="Arial"/>
          <w:sz w:val="24"/>
          <w:szCs w:val="24"/>
          <w:lang w:eastAsia="zh-CN"/>
        </w:rPr>
        <w:t>– 2</w:t>
      </w:r>
      <w:r w:rsidR="00EB2F89">
        <w:rPr>
          <w:rFonts w:cs="Arial"/>
          <w:sz w:val="24"/>
          <w:szCs w:val="24"/>
          <w:lang w:eastAsia="zh-CN"/>
        </w:rPr>
        <w:t>7</w:t>
      </w:r>
      <w:r w:rsidR="00783CE2" w:rsidRPr="00BC5EBA">
        <w:rPr>
          <w:rFonts w:cs="Arial"/>
          <w:sz w:val="24"/>
          <w:szCs w:val="24"/>
          <w:vertAlign w:val="superscript"/>
          <w:lang w:eastAsia="zh-CN"/>
        </w:rPr>
        <w:t>th</w:t>
      </w:r>
      <w:r w:rsidR="00783CE2">
        <w:rPr>
          <w:rFonts w:cs="Arial"/>
          <w:sz w:val="24"/>
          <w:szCs w:val="24"/>
          <w:lang w:eastAsia="zh-CN"/>
        </w:rPr>
        <w:t xml:space="preserve"> A</w:t>
      </w:r>
      <w:r w:rsidR="00EB2F89">
        <w:rPr>
          <w:rFonts w:cs="Arial"/>
          <w:sz w:val="24"/>
          <w:szCs w:val="24"/>
          <w:lang w:eastAsia="zh-CN"/>
        </w:rPr>
        <w:t xml:space="preserve">ugust </w:t>
      </w:r>
      <w:r w:rsidR="000F6DA4" w:rsidRPr="0058244D">
        <w:rPr>
          <w:rFonts w:cs="Arial"/>
          <w:sz w:val="24"/>
          <w:szCs w:val="24"/>
          <w:lang w:eastAsia="zh-CN"/>
        </w:rPr>
        <w:t>2021</w:t>
      </w:r>
      <w:r w:rsidRPr="0058244D">
        <w:rPr>
          <w:rFonts w:cs="Arial"/>
          <w:sz w:val="24"/>
          <w:szCs w:val="24"/>
          <w:lang w:eastAsia="zh-CN"/>
        </w:rPr>
        <w:t xml:space="preserve"> </w:t>
      </w:r>
    </w:p>
    <w:p w:rsidR="00282D36" w:rsidRPr="0058244D" w:rsidRDefault="00282D36" w:rsidP="00282D36">
      <w:pPr>
        <w:rPr>
          <w:rFonts w:ascii="Arial" w:hAnsi="Arial" w:cs="Arial"/>
        </w:rPr>
      </w:pPr>
    </w:p>
    <w:p w:rsidR="00282D36" w:rsidRPr="00FD1F46" w:rsidRDefault="00282D36" w:rsidP="00282D36">
      <w:pPr>
        <w:spacing w:after="120"/>
        <w:ind w:left="1985" w:hanging="1985"/>
        <w:rPr>
          <w:rFonts w:ascii="Arial" w:hAnsi="Arial" w:cs="Arial"/>
          <w:bCs/>
          <w:lang w:eastAsia="ja-JP"/>
        </w:rPr>
      </w:pPr>
      <w:r w:rsidRPr="00FD1F46">
        <w:rPr>
          <w:rFonts w:ascii="Arial" w:hAnsi="Arial" w:cs="Arial"/>
        </w:rPr>
        <w:t>Source:</w:t>
      </w:r>
      <w:r w:rsidRPr="00FD1F46">
        <w:rPr>
          <w:rFonts w:ascii="Arial" w:hAnsi="Arial" w:cs="Arial"/>
        </w:rPr>
        <w:tab/>
      </w:r>
      <w:r w:rsidRPr="00FD1F46">
        <w:rPr>
          <w:rFonts w:ascii="Arial" w:hAnsi="Arial" w:cs="Arial"/>
        </w:rPr>
        <w:tab/>
        <w:t>Verizon</w:t>
      </w:r>
      <w:r w:rsidR="004C0A72">
        <w:rPr>
          <w:rFonts w:ascii="Arial" w:hAnsi="Arial" w:cs="Arial"/>
        </w:rPr>
        <w:t>, Qualc</w:t>
      </w:r>
      <w:bookmarkStart w:id="0" w:name="_GoBack"/>
      <w:bookmarkEnd w:id="0"/>
      <w:r w:rsidR="004C0A72">
        <w:rPr>
          <w:rFonts w:ascii="Arial" w:hAnsi="Arial" w:cs="Arial"/>
        </w:rPr>
        <w:t>omm, Apple</w:t>
      </w:r>
    </w:p>
    <w:p w:rsidR="00282D36" w:rsidRPr="00FD1F46" w:rsidRDefault="00282D36" w:rsidP="00282D36">
      <w:pPr>
        <w:pStyle w:val="NoSpacing"/>
        <w:rPr>
          <w:rFonts w:ascii="Arial" w:hAnsi="Arial" w:cs="Arial"/>
          <w:sz w:val="24"/>
          <w:szCs w:val="24"/>
          <w:lang w:eastAsia="ja-JP"/>
        </w:rPr>
      </w:pPr>
      <w:r w:rsidRPr="00FD1F46">
        <w:rPr>
          <w:rFonts w:ascii="Arial" w:hAnsi="Arial" w:cs="Arial"/>
          <w:sz w:val="24"/>
          <w:szCs w:val="24"/>
        </w:rPr>
        <w:t>Title:</w:t>
      </w:r>
      <w:r w:rsidRPr="00FD1F46">
        <w:rPr>
          <w:rFonts w:ascii="Arial" w:hAnsi="Arial" w:cs="Arial"/>
          <w:sz w:val="24"/>
          <w:szCs w:val="24"/>
        </w:rPr>
        <w:tab/>
      </w:r>
      <w:r w:rsidRPr="00FD1F46">
        <w:rPr>
          <w:rFonts w:ascii="Arial" w:hAnsi="Arial" w:cs="Arial"/>
          <w:sz w:val="24"/>
          <w:szCs w:val="24"/>
        </w:rPr>
        <w:tab/>
      </w:r>
      <w:r w:rsidRPr="00FD1F46">
        <w:rPr>
          <w:rFonts w:ascii="Arial" w:hAnsi="Arial" w:cs="Arial"/>
          <w:sz w:val="24"/>
          <w:szCs w:val="24"/>
        </w:rPr>
        <w:tab/>
      </w:r>
      <w:r w:rsidR="003E3931">
        <w:rPr>
          <w:rFonts w:ascii="Arial" w:hAnsi="Arial" w:cs="Arial"/>
          <w:sz w:val="24"/>
          <w:szCs w:val="24"/>
        </w:rPr>
        <w:t xml:space="preserve">PC1.5 </w:t>
      </w:r>
      <w:r w:rsidR="00A9166B">
        <w:rPr>
          <w:rFonts w:ascii="Arial" w:hAnsi="Arial" w:cs="Arial"/>
          <w:sz w:val="24"/>
          <w:szCs w:val="24"/>
        </w:rPr>
        <w:t xml:space="preserve">FWA </w:t>
      </w:r>
      <w:r w:rsidR="00A250BC">
        <w:rPr>
          <w:rFonts w:ascii="Arial" w:hAnsi="Arial" w:cs="Arial"/>
          <w:sz w:val="24"/>
          <w:szCs w:val="24"/>
        </w:rPr>
        <w:t>device requirement</w:t>
      </w:r>
      <w:r w:rsidR="00B03EDF">
        <w:rPr>
          <w:rFonts w:ascii="Arial" w:hAnsi="Arial" w:cs="Arial"/>
          <w:sz w:val="24"/>
          <w:szCs w:val="24"/>
        </w:rPr>
        <w:t xml:space="preserve"> </w:t>
      </w:r>
    </w:p>
    <w:p w:rsidR="00282D36" w:rsidRPr="00FD1F46" w:rsidRDefault="00282D36" w:rsidP="00282D36">
      <w:pPr>
        <w:pStyle w:val="NoSpacing"/>
        <w:rPr>
          <w:rFonts w:ascii="Arial" w:hAnsi="Arial" w:cs="Arial"/>
          <w:sz w:val="24"/>
          <w:szCs w:val="24"/>
          <w:lang w:eastAsia="ja-JP"/>
        </w:rPr>
      </w:pPr>
    </w:p>
    <w:p w:rsidR="00282D36" w:rsidRPr="00FD1F46" w:rsidRDefault="00282D36" w:rsidP="00282D36">
      <w:pPr>
        <w:spacing w:after="120"/>
        <w:ind w:left="1985" w:hanging="1985"/>
        <w:rPr>
          <w:rFonts w:ascii="Arial" w:hAnsi="Arial" w:cs="Arial"/>
          <w:bCs/>
          <w:lang w:val="pt-BR" w:eastAsia="ja-JP"/>
        </w:rPr>
      </w:pPr>
      <w:r w:rsidRPr="00FD1F46">
        <w:rPr>
          <w:rFonts w:ascii="Arial" w:hAnsi="Arial" w:cs="Arial"/>
          <w:lang w:val="pt-BR"/>
        </w:rPr>
        <w:t>Agenda item:</w:t>
      </w:r>
      <w:r w:rsidRPr="00FD1F46">
        <w:rPr>
          <w:rFonts w:ascii="Arial" w:hAnsi="Arial" w:cs="Arial"/>
          <w:lang w:val="pt-BR"/>
        </w:rPr>
        <w:tab/>
      </w:r>
      <w:r w:rsidRPr="00FD1F46">
        <w:rPr>
          <w:rFonts w:ascii="Arial" w:hAnsi="Arial" w:cs="Arial"/>
          <w:lang w:val="pt-BR"/>
        </w:rPr>
        <w:tab/>
      </w:r>
      <w:r w:rsidR="00721D1C">
        <w:rPr>
          <w:rFonts w:ascii="Arial" w:hAnsi="Arial" w:cs="Arial"/>
          <w:lang w:val="pt-BR"/>
        </w:rPr>
        <w:t>8.30.1</w:t>
      </w:r>
    </w:p>
    <w:p w:rsidR="00282D36" w:rsidRPr="00FD1F46" w:rsidRDefault="00282D36" w:rsidP="00282D36">
      <w:pPr>
        <w:spacing w:after="120"/>
        <w:ind w:left="1985" w:hanging="1985"/>
        <w:rPr>
          <w:rFonts w:ascii="Arial" w:hAnsi="Arial" w:cs="Arial"/>
          <w:bCs/>
          <w:lang w:eastAsia="ja-JP"/>
        </w:rPr>
      </w:pPr>
      <w:r w:rsidRPr="00FD1F46">
        <w:rPr>
          <w:rFonts w:ascii="Arial" w:hAnsi="Arial" w:cs="Arial"/>
        </w:rPr>
        <w:t>Document for:</w:t>
      </w:r>
      <w:r w:rsidRPr="00FD1F46">
        <w:rPr>
          <w:rFonts w:ascii="Arial" w:hAnsi="Arial" w:cs="Arial"/>
        </w:rPr>
        <w:tab/>
      </w:r>
      <w:r w:rsidRPr="00FD1F46">
        <w:rPr>
          <w:rFonts w:ascii="Arial" w:hAnsi="Arial" w:cs="Arial"/>
        </w:rPr>
        <w:tab/>
      </w:r>
      <w:r w:rsidRPr="00FD1F46">
        <w:rPr>
          <w:rFonts w:ascii="Arial" w:hAnsi="Arial" w:cs="Arial"/>
          <w:bCs/>
          <w:lang w:eastAsia="ja-JP"/>
        </w:rPr>
        <w:t>Approval</w:t>
      </w:r>
    </w:p>
    <w:p w:rsidR="00282D36" w:rsidRPr="0058244D" w:rsidRDefault="00282D36" w:rsidP="00C552D5">
      <w:pPr>
        <w:pBdr>
          <w:bottom w:val="single" w:sz="4" w:space="3" w:color="auto"/>
        </w:pBdr>
        <w:rPr>
          <w:rFonts w:ascii="Arial" w:hAnsi="Arial" w:cs="Arial"/>
          <w:lang w:eastAsia="ja-JP"/>
        </w:rPr>
      </w:pPr>
    </w:p>
    <w:p w:rsidR="00DE0AE8" w:rsidRDefault="00DE0AE8" w:rsidP="00DE0AE8">
      <w:pPr>
        <w:pStyle w:val="Heading1"/>
        <w:ind w:left="720"/>
        <w:rPr>
          <w:rFonts w:ascii="Calibri Light" w:hAnsi="Calibri Light" w:cs="Calibri Light"/>
          <w:color w:val="2E74B5"/>
        </w:rPr>
      </w:pPr>
      <w:r>
        <w:rPr>
          <w:rFonts w:ascii="Arial" w:hAnsi="Arial" w:cs="Arial"/>
          <w:color w:val="2E74B5"/>
          <w:sz w:val="24"/>
          <w:szCs w:val="24"/>
        </w:rPr>
        <w:t>1.</w:t>
      </w:r>
      <w:r>
        <w:rPr>
          <w:rFonts w:ascii="Calibri Light" w:hAnsi="Calibri Light" w:cs="Calibri Light"/>
          <w:color w:val="2E74B5"/>
          <w:sz w:val="14"/>
          <w:szCs w:val="14"/>
        </w:rPr>
        <w:t>    </w:t>
      </w:r>
      <w:r>
        <w:rPr>
          <w:rFonts w:ascii="Arial" w:hAnsi="Arial" w:cs="Arial"/>
          <w:color w:val="2E74B5"/>
          <w:sz w:val="24"/>
          <w:szCs w:val="24"/>
        </w:rPr>
        <w:t>Introduction</w:t>
      </w:r>
    </w:p>
    <w:p w:rsidR="00DE0AE8" w:rsidRDefault="00DE0AE8" w:rsidP="00DE0AE8">
      <w:pPr>
        <w:rPr>
          <w:color w:val="222222"/>
        </w:rPr>
      </w:pPr>
      <w:r>
        <w:rPr>
          <w:color w:val="222222"/>
          <w:sz w:val="20"/>
          <w:szCs w:val="20"/>
        </w:rPr>
        <w:t xml:space="preserve">RAN4 has worked on PC1.5 work item [1] for a while. The goal of this work is to define RF solutions for both FWA </w:t>
      </w:r>
      <w:r w:rsidR="00B66206">
        <w:rPr>
          <w:color w:val="222222"/>
          <w:sz w:val="20"/>
          <w:szCs w:val="20"/>
        </w:rPr>
        <w:t xml:space="preserve">CPE </w:t>
      </w:r>
      <w:r>
        <w:rPr>
          <w:color w:val="222222"/>
          <w:sz w:val="20"/>
          <w:szCs w:val="20"/>
        </w:rPr>
        <w:t>device</w:t>
      </w:r>
      <w:r w:rsidR="00B66206">
        <w:rPr>
          <w:color w:val="222222"/>
          <w:sz w:val="20"/>
          <w:szCs w:val="20"/>
        </w:rPr>
        <w:t>s</w:t>
      </w:r>
      <w:r>
        <w:rPr>
          <w:color w:val="222222"/>
          <w:sz w:val="20"/>
          <w:szCs w:val="20"/>
        </w:rPr>
        <w:t xml:space="preserve"> and Smartphones to improve band n77 and n78 TDD cell coverage ranges and ensure the inter site distance </w:t>
      </w:r>
      <w:r w:rsidR="00D17370">
        <w:rPr>
          <w:color w:val="222222"/>
          <w:sz w:val="20"/>
          <w:szCs w:val="20"/>
        </w:rPr>
        <w:t xml:space="preserve">can </w:t>
      </w:r>
      <w:r>
        <w:rPr>
          <w:color w:val="222222"/>
          <w:sz w:val="20"/>
          <w:szCs w:val="20"/>
        </w:rPr>
        <w:t xml:space="preserve">be similar to cell operation on lower frequency bands. RAN4 has studied and investigated the major RF requirements, including the possible device type signaling and the MPR requirement, to progress this work, but the final </w:t>
      </w:r>
      <w:r w:rsidR="00284CF1">
        <w:rPr>
          <w:color w:val="222222"/>
          <w:sz w:val="20"/>
          <w:szCs w:val="20"/>
        </w:rPr>
        <w:t xml:space="preserve">conclusion and </w:t>
      </w:r>
      <w:r>
        <w:rPr>
          <w:color w:val="222222"/>
          <w:sz w:val="20"/>
          <w:szCs w:val="20"/>
        </w:rPr>
        <w:t>agreement is very limited.</w:t>
      </w:r>
    </w:p>
    <w:p w:rsidR="00DE0AE8" w:rsidRDefault="00DE0AE8" w:rsidP="00DE0AE8">
      <w:pPr>
        <w:rPr>
          <w:color w:val="222222"/>
        </w:rPr>
      </w:pPr>
      <w:r>
        <w:rPr>
          <w:color w:val="222222"/>
          <w:sz w:val="20"/>
          <w:szCs w:val="20"/>
        </w:rPr>
        <w:t> </w:t>
      </w:r>
    </w:p>
    <w:p w:rsidR="00DE0AE8" w:rsidRDefault="00F624D1" w:rsidP="00DE0AE8">
      <w:pPr>
        <w:rPr>
          <w:color w:val="222222"/>
        </w:rPr>
      </w:pPr>
      <w:r>
        <w:rPr>
          <w:color w:val="222222"/>
          <w:sz w:val="20"/>
          <w:szCs w:val="20"/>
        </w:rPr>
        <w:t>So far, there</w:t>
      </w:r>
      <w:r w:rsidR="00DE0AE8">
        <w:rPr>
          <w:color w:val="222222"/>
          <w:sz w:val="20"/>
          <w:szCs w:val="20"/>
        </w:rPr>
        <w:t xml:space="preserve"> is no consensus on MRP improvement for Smartphone</w:t>
      </w:r>
      <w:r>
        <w:rPr>
          <w:color w:val="222222"/>
          <w:sz w:val="20"/>
          <w:szCs w:val="20"/>
        </w:rPr>
        <w:t>,</w:t>
      </w:r>
      <w:r w:rsidR="00DE0AE8">
        <w:rPr>
          <w:color w:val="222222"/>
          <w:sz w:val="20"/>
          <w:szCs w:val="20"/>
        </w:rPr>
        <w:t xml:space="preserve"> and </w:t>
      </w:r>
      <w:r>
        <w:rPr>
          <w:color w:val="222222"/>
          <w:sz w:val="20"/>
          <w:szCs w:val="20"/>
        </w:rPr>
        <w:t>there has been little</w:t>
      </w:r>
      <w:r w:rsidR="00DE0AE8">
        <w:rPr>
          <w:color w:val="222222"/>
          <w:sz w:val="20"/>
          <w:szCs w:val="20"/>
        </w:rPr>
        <w:t xml:space="preserve"> discussion </w:t>
      </w:r>
      <w:r>
        <w:rPr>
          <w:color w:val="222222"/>
          <w:sz w:val="20"/>
          <w:szCs w:val="20"/>
        </w:rPr>
        <w:t>on the</w:t>
      </w:r>
      <w:r w:rsidR="00DE0AE8">
        <w:rPr>
          <w:color w:val="222222"/>
          <w:sz w:val="20"/>
          <w:szCs w:val="20"/>
        </w:rPr>
        <w:t xml:space="preserve"> FWA </w:t>
      </w:r>
      <w:r>
        <w:rPr>
          <w:color w:val="222222"/>
          <w:sz w:val="20"/>
          <w:szCs w:val="20"/>
        </w:rPr>
        <w:t xml:space="preserve">CPE </w:t>
      </w:r>
      <w:r w:rsidR="00DE0AE8">
        <w:rPr>
          <w:color w:val="222222"/>
          <w:sz w:val="20"/>
          <w:szCs w:val="20"/>
        </w:rPr>
        <w:t>device RF requirement</w:t>
      </w:r>
      <w:r>
        <w:rPr>
          <w:color w:val="222222"/>
          <w:sz w:val="20"/>
          <w:szCs w:val="20"/>
        </w:rPr>
        <w:t>s</w:t>
      </w:r>
      <w:r w:rsidR="00DE0AE8">
        <w:rPr>
          <w:color w:val="222222"/>
          <w:sz w:val="20"/>
          <w:szCs w:val="20"/>
        </w:rPr>
        <w:t>. In consequence, the timeline for the entire work has been extended by RAN. </w:t>
      </w:r>
      <w:r w:rsidR="00185DDC">
        <w:rPr>
          <w:color w:val="222222"/>
          <w:sz w:val="20"/>
          <w:szCs w:val="20"/>
        </w:rPr>
        <w:t>But, w</w:t>
      </w:r>
      <w:r w:rsidR="00DE0AE8">
        <w:rPr>
          <w:color w:val="333333"/>
          <w:sz w:val="20"/>
          <w:szCs w:val="20"/>
        </w:rPr>
        <w:t>e all know that the market timeline is coming up for both PC1.5 devices</w:t>
      </w:r>
      <w:r>
        <w:rPr>
          <w:color w:val="333333"/>
          <w:sz w:val="20"/>
          <w:szCs w:val="20"/>
        </w:rPr>
        <w:t>, especially n77 PC1.5 FWA CPE devices</w:t>
      </w:r>
      <w:r w:rsidR="00D04523">
        <w:rPr>
          <w:color w:val="333333"/>
          <w:sz w:val="20"/>
          <w:szCs w:val="20"/>
        </w:rPr>
        <w:t xml:space="preserve">. We </w:t>
      </w:r>
      <w:r w:rsidR="00DE0AE8">
        <w:rPr>
          <w:color w:val="333333"/>
          <w:sz w:val="20"/>
          <w:szCs w:val="20"/>
        </w:rPr>
        <w:t xml:space="preserve">are wondering where </w:t>
      </w:r>
      <w:r w:rsidR="003D70C6">
        <w:rPr>
          <w:color w:val="333333"/>
          <w:sz w:val="20"/>
          <w:szCs w:val="20"/>
        </w:rPr>
        <w:t>the correct starting point of this work is,</w:t>
      </w:r>
      <w:r w:rsidR="00DE0AE8">
        <w:rPr>
          <w:color w:val="333333"/>
          <w:sz w:val="20"/>
          <w:szCs w:val="20"/>
        </w:rPr>
        <w:t> </w:t>
      </w:r>
      <w:r w:rsidR="00DE0AE8">
        <w:rPr>
          <w:color w:val="222222"/>
          <w:sz w:val="20"/>
          <w:szCs w:val="20"/>
        </w:rPr>
        <w:t>and which result of this work should be taken into account first?</w:t>
      </w:r>
    </w:p>
    <w:p w:rsidR="00DE0AE8" w:rsidRDefault="00DE0AE8" w:rsidP="00DE0AE8">
      <w:pPr>
        <w:rPr>
          <w:color w:val="222222"/>
        </w:rPr>
      </w:pPr>
      <w:r>
        <w:rPr>
          <w:color w:val="222222"/>
          <w:sz w:val="20"/>
          <w:szCs w:val="20"/>
        </w:rPr>
        <w:t> </w:t>
      </w:r>
    </w:p>
    <w:p w:rsidR="00DE0AE8" w:rsidRDefault="00DE0AE8" w:rsidP="00DE0AE8">
      <w:pPr>
        <w:pStyle w:val="Heading1"/>
        <w:ind w:left="720"/>
        <w:rPr>
          <w:rFonts w:ascii="Calibri Light" w:hAnsi="Calibri Light" w:cs="Calibri Light"/>
          <w:color w:val="2E74B5"/>
        </w:rPr>
      </w:pPr>
      <w:r>
        <w:rPr>
          <w:rFonts w:ascii="Arial" w:hAnsi="Arial" w:cs="Arial"/>
          <w:color w:val="2E74B5"/>
          <w:sz w:val="24"/>
          <w:szCs w:val="24"/>
        </w:rPr>
        <w:t>2.</w:t>
      </w:r>
      <w:r>
        <w:rPr>
          <w:rFonts w:ascii="Calibri Light" w:hAnsi="Calibri Light" w:cs="Calibri Light"/>
          <w:color w:val="2E74B5"/>
          <w:sz w:val="14"/>
          <w:szCs w:val="14"/>
        </w:rPr>
        <w:t>    </w:t>
      </w:r>
      <w:r>
        <w:rPr>
          <w:rFonts w:ascii="Arial" w:hAnsi="Arial" w:cs="Arial"/>
          <w:color w:val="2E74B5"/>
          <w:sz w:val="24"/>
          <w:szCs w:val="24"/>
        </w:rPr>
        <w:t>Discussion</w:t>
      </w:r>
    </w:p>
    <w:p w:rsidR="00DE0AE8" w:rsidRDefault="00F624D1" w:rsidP="00DE0AE8">
      <w:pPr>
        <w:rPr>
          <w:color w:val="222222"/>
        </w:rPr>
      </w:pPr>
      <w:r>
        <w:rPr>
          <w:color w:val="333333"/>
          <w:sz w:val="20"/>
          <w:szCs w:val="20"/>
        </w:rPr>
        <w:t>Although both Smartphones and FWA CPE’s are part of the PC1.5 work item, it makes sense at this juncture to focus on t</w:t>
      </w:r>
      <w:r w:rsidR="00DE0AE8">
        <w:rPr>
          <w:color w:val="333333"/>
          <w:sz w:val="20"/>
          <w:szCs w:val="20"/>
        </w:rPr>
        <w:t>he PC1.5 </w:t>
      </w:r>
      <w:r w:rsidR="00DE0AE8">
        <w:rPr>
          <w:color w:val="222222"/>
          <w:sz w:val="20"/>
          <w:szCs w:val="20"/>
        </w:rPr>
        <w:t xml:space="preserve">FWA </w:t>
      </w:r>
      <w:r>
        <w:rPr>
          <w:color w:val="222222"/>
          <w:sz w:val="20"/>
          <w:szCs w:val="20"/>
        </w:rPr>
        <w:t xml:space="preserve">CPE </w:t>
      </w:r>
      <w:r w:rsidR="00DE0AE8">
        <w:rPr>
          <w:color w:val="222222"/>
          <w:sz w:val="20"/>
          <w:szCs w:val="20"/>
        </w:rPr>
        <w:t>work</w:t>
      </w:r>
      <w:r w:rsidR="00DE0AE8">
        <w:rPr>
          <w:color w:val="333333"/>
          <w:sz w:val="20"/>
          <w:szCs w:val="20"/>
        </w:rPr>
        <w:t xml:space="preserve">. </w:t>
      </w:r>
      <w:r>
        <w:rPr>
          <w:color w:val="333333"/>
          <w:sz w:val="20"/>
          <w:szCs w:val="20"/>
        </w:rPr>
        <w:t xml:space="preserve">The </w:t>
      </w:r>
      <w:r w:rsidR="00DE0AE8">
        <w:rPr>
          <w:color w:val="333333"/>
          <w:sz w:val="20"/>
          <w:szCs w:val="20"/>
        </w:rPr>
        <w:t xml:space="preserve">FWA </w:t>
      </w:r>
      <w:r>
        <w:rPr>
          <w:color w:val="333333"/>
          <w:sz w:val="20"/>
          <w:szCs w:val="20"/>
        </w:rPr>
        <w:t xml:space="preserve">CPE </w:t>
      </w:r>
      <w:r w:rsidR="00DE0AE8">
        <w:rPr>
          <w:color w:val="333333"/>
          <w:sz w:val="20"/>
          <w:szCs w:val="20"/>
        </w:rPr>
        <w:t>has</w:t>
      </w:r>
      <w:r>
        <w:rPr>
          <w:color w:val="333333"/>
          <w:sz w:val="20"/>
          <w:szCs w:val="20"/>
        </w:rPr>
        <w:t xml:space="preserve"> a</w:t>
      </w:r>
      <w:r w:rsidR="00DE0AE8">
        <w:rPr>
          <w:color w:val="333333"/>
          <w:sz w:val="20"/>
          <w:szCs w:val="20"/>
        </w:rPr>
        <w:t> </w:t>
      </w:r>
      <w:r w:rsidR="00DE0AE8">
        <w:rPr>
          <w:color w:val="222222"/>
          <w:sz w:val="20"/>
          <w:szCs w:val="20"/>
        </w:rPr>
        <w:t xml:space="preserve">larger form factor than </w:t>
      </w:r>
      <w:r>
        <w:rPr>
          <w:color w:val="222222"/>
          <w:sz w:val="20"/>
          <w:szCs w:val="20"/>
        </w:rPr>
        <w:t xml:space="preserve">the </w:t>
      </w:r>
      <w:r w:rsidR="00DE0AE8">
        <w:rPr>
          <w:color w:val="222222"/>
          <w:sz w:val="20"/>
          <w:szCs w:val="20"/>
        </w:rPr>
        <w:t>Smartphone,</w:t>
      </w:r>
      <w:r w:rsidR="00094024">
        <w:rPr>
          <w:color w:val="222222"/>
          <w:sz w:val="20"/>
          <w:szCs w:val="20"/>
        </w:rPr>
        <w:t xml:space="preserve"> and as a result is less constrained from an RF perspective.</w:t>
      </w:r>
      <w:r w:rsidR="00DE0AE8">
        <w:rPr>
          <w:color w:val="222222"/>
          <w:sz w:val="20"/>
          <w:szCs w:val="20"/>
        </w:rPr>
        <w:t xml:space="preserve"> </w:t>
      </w:r>
      <w:r w:rsidR="00094024">
        <w:rPr>
          <w:color w:val="222222"/>
          <w:sz w:val="20"/>
          <w:szCs w:val="20"/>
        </w:rPr>
        <w:t>A</w:t>
      </w:r>
      <w:r w:rsidR="00DE0AE8">
        <w:rPr>
          <w:color w:val="333333"/>
          <w:sz w:val="20"/>
          <w:szCs w:val="20"/>
        </w:rPr>
        <w:t> common understanding is that the </w:t>
      </w:r>
      <w:r w:rsidR="00DE0AE8">
        <w:rPr>
          <w:color w:val="222222"/>
          <w:sz w:val="20"/>
          <w:szCs w:val="20"/>
        </w:rPr>
        <w:t xml:space="preserve">FWA </w:t>
      </w:r>
      <w:r>
        <w:rPr>
          <w:color w:val="222222"/>
          <w:sz w:val="20"/>
          <w:szCs w:val="20"/>
        </w:rPr>
        <w:t xml:space="preserve">CPE </w:t>
      </w:r>
      <w:r w:rsidR="00DE0AE8">
        <w:rPr>
          <w:color w:val="222222"/>
          <w:sz w:val="20"/>
          <w:szCs w:val="20"/>
        </w:rPr>
        <w:t xml:space="preserve">RF requirement is new for RAN4. And, such a </w:t>
      </w:r>
      <w:r>
        <w:rPr>
          <w:color w:val="222222"/>
          <w:sz w:val="20"/>
          <w:szCs w:val="20"/>
        </w:rPr>
        <w:t xml:space="preserve">FWA CPE </w:t>
      </w:r>
      <w:r w:rsidR="00DE0AE8">
        <w:rPr>
          <w:color w:val="222222"/>
          <w:sz w:val="20"/>
          <w:szCs w:val="20"/>
        </w:rPr>
        <w:t>device allows one to consider different RF assumptions for MPR, emission requirement, antenna architecture, PCB isolation and RF exposure mitigation in requirement from the Smartphone. All these works need to be prioritized in this RAN4 work.</w:t>
      </w:r>
    </w:p>
    <w:p w:rsidR="00DE0AE8" w:rsidRDefault="00DE0AE8" w:rsidP="00DE0AE8">
      <w:pPr>
        <w:rPr>
          <w:color w:val="222222"/>
        </w:rPr>
      </w:pPr>
      <w:r>
        <w:rPr>
          <w:color w:val="222222"/>
          <w:sz w:val="20"/>
          <w:szCs w:val="20"/>
        </w:rPr>
        <w:t> </w:t>
      </w:r>
    </w:p>
    <w:p w:rsidR="00DE0AE8" w:rsidRDefault="00DE0AE8" w:rsidP="00DE0AE8">
      <w:pPr>
        <w:rPr>
          <w:color w:val="222222"/>
        </w:rPr>
      </w:pPr>
      <w:r>
        <w:rPr>
          <w:b/>
          <w:bCs/>
          <w:color w:val="222222"/>
          <w:sz w:val="20"/>
          <w:szCs w:val="20"/>
        </w:rPr>
        <w:t xml:space="preserve">Proposal 1: Build FWA </w:t>
      </w:r>
      <w:r w:rsidR="00F624D1">
        <w:rPr>
          <w:b/>
          <w:bCs/>
          <w:color w:val="222222"/>
          <w:sz w:val="20"/>
          <w:szCs w:val="20"/>
        </w:rPr>
        <w:t xml:space="preserve">CPE </w:t>
      </w:r>
      <w:r>
        <w:rPr>
          <w:b/>
          <w:bCs/>
          <w:color w:val="222222"/>
          <w:sz w:val="20"/>
          <w:szCs w:val="20"/>
        </w:rPr>
        <w:t>RF requirement</w:t>
      </w:r>
      <w:r w:rsidR="00F624D1">
        <w:rPr>
          <w:b/>
          <w:bCs/>
          <w:color w:val="222222"/>
          <w:sz w:val="20"/>
          <w:szCs w:val="20"/>
        </w:rPr>
        <w:t>s</w:t>
      </w:r>
      <w:r>
        <w:rPr>
          <w:b/>
          <w:bCs/>
          <w:color w:val="222222"/>
          <w:sz w:val="20"/>
          <w:szCs w:val="20"/>
        </w:rPr>
        <w:t xml:space="preserve"> as starting point of this PC1.5 WID</w:t>
      </w:r>
    </w:p>
    <w:p w:rsidR="00DE0AE8" w:rsidRDefault="00DE0AE8" w:rsidP="00DE0AE8">
      <w:pPr>
        <w:rPr>
          <w:color w:val="222222"/>
        </w:rPr>
      </w:pPr>
      <w:r>
        <w:rPr>
          <w:color w:val="222222"/>
          <w:sz w:val="20"/>
          <w:szCs w:val="20"/>
        </w:rPr>
        <w:t> </w:t>
      </w:r>
    </w:p>
    <w:p w:rsidR="00DE0AE8" w:rsidRDefault="00DE0AE8" w:rsidP="00DE0AE8">
      <w:pPr>
        <w:rPr>
          <w:color w:val="222222"/>
        </w:rPr>
      </w:pPr>
      <w:r>
        <w:rPr>
          <w:color w:val="222222"/>
          <w:sz w:val="20"/>
          <w:szCs w:val="20"/>
        </w:rPr>
        <w:t xml:space="preserve">Because of different form factors, the FWA </w:t>
      </w:r>
      <w:r w:rsidR="00F624D1">
        <w:rPr>
          <w:color w:val="222222"/>
          <w:sz w:val="20"/>
          <w:szCs w:val="20"/>
        </w:rPr>
        <w:t xml:space="preserve">CPE </w:t>
      </w:r>
      <w:r>
        <w:rPr>
          <w:color w:val="222222"/>
          <w:sz w:val="20"/>
          <w:szCs w:val="20"/>
        </w:rPr>
        <w:t xml:space="preserve">devices could get superior performance differences from the Smartphone. </w:t>
      </w:r>
      <w:r w:rsidR="00F624D1">
        <w:rPr>
          <w:color w:val="222222"/>
          <w:sz w:val="20"/>
          <w:szCs w:val="20"/>
        </w:rPr>
        <w:t>As a result, n</w:t>
      </w:r>
      <w:r>
        <w:rPr>
          <w:color w:val="222222"/>
          <w:sz w:val="20"/>
          <w:szCs w:val="20"/>
        </w:rPr>
        <w:t xml:space="preserve">ew device type will be a set of performance requirements associated with this type </w:t>
      </w:r>
      <w:r w:rsidR="00F624D1">
        <w:rPr>
          <w:color w:val="222222"/>
          <w:sz w:val="20"/>
          <w:szCs w:val="20"/>
        </w:rPr>
        <w:t xml:space="preserve">of FWA CPE </w:t>
      </w:r>
      <w:r>
        <w:rPr>
          <w:color w:val="222222"/>
          <w:sz w:val="20"/>
          <w:szCs w:val="20"/>
        </w:rPr>
        <w:t xml:space="preserve">device. Therefore, a new signaling is required to be beneficial for possible PC1.5 </w:t>
      </w:r>
      <w:r w:rsidR="00F624D1">
        <w:rPr>
          <w:color w:val="222222"/>
          <w:sz w:val="20"/>
          <w:szCs w:val="20"/>
        </w:rPr>
        <w:t xml:space="preserve">FWA CPE </w:t>
      </w:r>
      <w:r>
        <w:rPr>
          <w:color w:val="222222"/>
          <w:sz w:val="20"/>
          <w:szCs w:val="20"/>
        </w:rPr>
        <w:t>devices. RAN4 needs to make a decision and inform RAN2 what type signaling is needed to distinguish between FWA</w:t>
      </w:r>
      <w:r w:rsidR="00F624D1">
        <w:rPr>
          <w:color w:val="222222"/>
          <w:sz w:val="20"/>
          <w:szCs w:val="20"/>
        </w:rPr>
        <w:t xml:space="preserve"> CPE</w:t>
      </w:r>
      <w:r>
        <w:rPr>
          <w:color w:val="222222"/>
          <w:sz w:val="20"/>
          <w:szCs w:val="20"/>
        </w:rPr>
        <w:t xml:space="preserve"> and Smartphone with which set of performance requirements for each device type. </w:t>
      </w:r>
    </w:p>
    <w:p w:rsidR="00DE0AE8" w:rsidRDefault="00DE0AE8" w:rsidP="00DE0AE8">
      <w:pPr>
        <w:rPr>
          <w:color w:val="222222"/>
        </w:rPr>
      </w:pPr>
      <w:r>
        <w:rPr>
          <w:color w:val="222222"/>
          <w:sz w:val="20"/>
          <w:szCs w:val="20"/>
        </w:rPr>
        <w:t> </w:t>
      </w:r>
    </w:p>
    <w:p w:rsidR="00DE0AE8" w:rsidRDefault="00DE0AE8" w:rsidP="00DE0AE8">
      <w:pPr>
        <w:rPr>
          <w:color w:val="222222"/>
        </w:rPr>
      </w:pPr>
      <w:r>
        <w:rPr>
          <w:b/>
          <w:bCs/>
          <w:color w:val="222222"/>
          <w:sz w:val="20"/>
          <w:szCs w:val="20"/>
        </w:rPr>
        <w:t>Proposal 2: Make a quick decision for the device type signaling and inform this decision to RAN2.</w:t>
      </w:r>
    </w:p>
    <w:p w:rsidR="00DE0AE8" w:rsidRDefault="00DE0AE8" w:rsidP="00DE0AE8">
      <w:pPr>
        <w:rPr>
          <w:color w:val="222222"/>
        </w:rPr>
      </w:pPr>
      <w:r>
        <w:rPr>
          <w:color w:val="222222"/>
          <w:sz w:val="20"/>
          <w:szCs w:val="20"/>
        </w:rPr>
        <w:t> </w:t>
      </w:r>
    </w:p>
    <w:p w:rsidR="00DE0AE8" w:rsidRDefault="00DE0AE8" w:rsidP="00DE0AE8">
      <w:pPr>
        <w:rPr>
          <w:color w:val="222222"/>
          <w:sz w:val="20"/>
          <w:szCs w:val="20"/>
        </w:rPr>
      </w:pPr>
      <w:r>
        <w:rPr>
          <w:color w:val="222222"/>
          <w:sz w:val="20"/>
          <w:szCs w:val="20"/>
        </w:rPr>
        <w:t xml:space="preserve">Prioritization of </w:t>
      </w:r>
      <w:r w:rsidR="007444FA">
        <w:rPr>
          <w:color w:val="222222"/>
          <w:sz w:val="20"/>
          <w:szCs w:val="20"/>
        </w:rPr>
        <w:t xml:space="preserve">the </w:t>
      </w:r>
      <w:r>
        <w:rPr>
          <w:color w:val="222222"/>
          <w:sz w:val="20"/>
          <w:szCs w:val="20"/>
        </w:rPr>
        <w:t>FWA</w:t>
      </w:r>
      <w:r w:rsidR="007444FA">
        <w:rPr>
          <w:color w:val="222222"/>
          <w:sz w:val="20"/>
          <w:szCs w:val="20"/>
        </w:rPr>
        <w:t xml:space="preserve"> CPE</w:t>
      </w:r>
      <w:r>
        <w:rPr>
          <w:color w:val="222222"/>
          <w:sz w:val="20"/>
          <w:szCs w:val="20"/>
        </w:rPr>
        <w:t xml:space="preserve"> work </w:t>
      </w:r>
      <w:r w:rsidR="00094024">
        <w:rPr>
          <w:color w:val="222222"/>
          <w:sz w:val="20"/>
          <w:szCs w:val="20"/>
        </w:rPr>
        <w:t xml:space="preserve">is not meant to stop or preclude further work on the PC1.5 Smartphone requirements. </w:t>
      </w:r>
      <w:r>
        <w:rPr>
          <w:color w:val="222222"/>
          <w:sz w:val="20"/>
          <w:szCs w:val="20"/>
        </w:rPr>
        <w:t xml:space="preserve"> RAN4 has studied the related MPR improvident for the PC1.5 Smartphone since Rel-16. Still, there is no consensus for the Smartphone from past meetings. </w:t>
      </w:r>
      <w:r w:rsidR="00CE088D">
        <w:rPr>
          <w:color w:val="222222"/>
          <w:sz w:val="20"/>
          <w:szCs w:val="20"/>
        </w:rPr>
        <w:t xml:space="preserve">This </w:t>
      </w:r>
      <w:r w:rsidR="00E72E45">
        <w:rPr>
          <w:color w:val="222222"/>
          <w:sz w:val="20"/>
          <w:szCs w:val="20"/>
        </w:rPr>
        <w:t>paper proposes</w:t>
      </w:r>
      <w:r w:rsidR="00CE088D">
        <w:rPr>
          <w:color w:val="222222"/>
          <w:sz w:val="20"/>
          <w:szCs w:val="20"/>
        </w:rPr>
        <w:t xml:space="preserve"> to </w:t>
      </w:r>
      <w:r w:rsidR="00E72E45">
        <w:rPr>
          <w:color w:val="222222"/>
          <w:sz w:val="20"/>
          <w:szCs w:val="20"/>
        </w:rPr>
        <w:t xml:space="preserve">re-focus the work item </w:t>
      </w:r>
      <w:r w:rsidR="00CE088D">
        <w:rPr>
          <w:color w:val="222222"/>
          <w:sz w:val="20"/>
          <w:szCs w:val="20"/>
        </w:rPr>
        <w:t>on</w:t>
      </w:r>
      <w:r w:rsidR="00E72E45">
        <w:rPr>
          <w:color w:val="222222"/>
          <w:sz w:val="20"/>
          <w:szCs w:val="20"/>
        </w:rPr>
        <w:t xml:space="preserve"> the</w:t>
      </w:r>
      <w:r w:rsidR="00CE088D">
        <w:rPr>
          <w:color w:val="222222"/>
          <w:sz w:val="20"/>
          <w:szCs w:val="20"/>
        </w:rPr>
        <w:t xml:space="preserve"> FWA CPE to see if progress can be made on the RF requirements for the FWA CPE. </w:t>
      </w:r>
      <w:r w:rsidR="00E72E45">
        <w:rPr>
          <w:color w:val="222222"/>
          <w:sz w:val="20"/>
          <w:szCs w:val="20"/>
        </w:rPr>
        <w:t>(</w:t>
      </w:r>
      <w:r>
        <w:rPr>
          <w:color w:val="222222"/>
          <w:sz w:val="20"/>
          <w:szCs w:val="20"/>
        </w:rPr>
        <w:t xml:space="preserve">One difference from </w:t>
      </w:r>
      <w:r w:rsidR="00D610BC">
        <w:rPr>
          <w:color w:val="222222"/>
          <w:sz w:val="20"/>
          <w:szCs w:val="20"/>
        </w:rPr>
        <w:t xml:space="preserve">early </w:t>
      </w:r>
      <w:r>
        <w:rPr>
          <w:color w:val="222222"/>
          <w:sz w:val="20"/>
          <w:szCs w:val="20"/>
        </w:rPr>
        <w:t xml:space="preserve">Rel-16 work is that this </w:t>
      </w:r>
      <w:r w:rsidR="00CC1EEE">
        <w:rPr>
          <w:color w:val="222222"/>
          <w:sz w:val="20"/>
          <w:szCs w:val="20"/>
        </w:rPr>
        <w:t xml:space="preserve">Rel-17 </w:t>
      </w:r>
      <w:r>
        <w:rPr>
          <w:color w:val="222222"/>
          <w:sz w:val="20"/>
          <w:szCs w:val="20"/>
        </w:rPr>
        <w:t xml:space="preserve">work includes the FWA </w:t>
      </w:r>
      <w:r w:rsidR="00CE088D">
        <w:rPr>
          <w:color w:val="222222"/>
          <w:sz w:val="20"/>
          <w:szCs w:val="20"/>
        </w:rPr>
        <w:t xml:space="preserve">CPE </w:t>
      </w:r>
      <w:r>
        <w:rPr>
          <w:color w:val="222222"/>
          <w:sz w:val="20"/>
          <w:szCs w:val="20"/>
        </w:rPr>
        <w:t xml:space="preserve">RF requirement, and it provides another way to investigate the related requirement as RAN4 needs to define the new requirements for the FWA </w:t>
      </w:r>
      <w:r w:rsidR="00CE088D">
        <w:rPr>
          <w:color w:val="222222"/>
          <w:sz w:val="20"/>
          <w:szCs w:val="20"/>
        </w:rPr>
        <w:t xml:space="preserve">CPE </w:t>
      </w:r>
      <w:r>
        <w:rPr>
          <w:color w:val="222222"/>
          <w:sz w:val="20"/>
          <w:szCs w:val="20"/>
        </w:rPr>
        <w:t>device based on the WID required.</w:t>
      </w:r>
      <w:r w:rsidR="00E72E45">
        <w:rPr>
          <w:color w:val="222222"/>
          <w:sz w:val="20"/>
          <w:szCs w:val="20"/>
        </w:rPr>
        <w:t>)</w:t>
      </w:r>
      <w:r>
        <w:rPr>
          <w:color w:val="222222"/>
          <w:sz w:val="20"/>
          <w:szCs w:val="20"/>
        </w:rPr>
        <w:t xml:space="preserve"> </w:t>
      </w:r>
      <w:r w:rsidR="00CE088D">
        <w:rPr>
          <w:color w:val="222222"/>
          <w:sz w:val="20"/>
          <w:szCs w:val="20"/>
        </w:rPr>
        <w:t xml:space="preserve">After completion of the FWA CPE requirements, </w:t>
      </w:r>
      <w:r>
        <w:rPr>
          <w:color w:val="222222"/>
          <w:sz w:val="20"/>
          <w:szCs w:val="20"/>
        </w:rPr>
        <w:t>RAN4 should re-evaluate the MPR needed to consider Smartphone.</w:t>
      </w:r>
      <w:r w:rsidR="00D5110C">
        <w:rPr>
          <w:color w:val="222222"/>
          <w:sz w:val="20"/>
          <w:szCs w:val="20"/>
        </w:rPr>
        <w:t xml:space="preserve"> </w:t>
      </w:r>
      <w:r w:rsidR="00CE088D">
        <w:rPr>
          <w:color w:val="222222"/>
          <w:sz w:val="20"/>
          <w:szCs w:val="20"/>
        </w:rPr>
        <w:t xml:space="preserve">RAN4 should re-use any results and learnings from the FWA CPE </w:t>
      </w:r>
      <w:r w:rsidR="00E72E45">
        <w:rPr>
          <w:color w:val="222222"/>
          <w:sz w:val="20"/>
          <w:szCs w:val="20"/>
        </w:rPr>
        <w:t>analysis</w:t>
      </w:r>
      <w:r w:rsidR="00CE088D">
        <w:rPr>
          <w:color w:val="222222"/>
          <w:sz w:val="20"/>
          <w:szCs w:val="20"/>
        </w:rPr>
        <w:t xml:space="preserve"> that are useful to the Smartpho</w:t>
      </w:r>
      <w:r w:rsidR="00E72E45">
        <w:rPr>
          <w:color w:val="222222"/>
          <w:sz w:val="20"/>
          <w:szCs w:val="20"/>
        </w:rPr>
        <w:t>ne analysis</w:t>
      </w:r>
      <w:r w:rsidR="00CE088D">
        <w:rPr>
          <w:color w:val="222222"/>
          <w:sz w:val="20"/>
          <w:szCs w:val="20"/>
        </w:rPr>
        <w:t xml:space="preserve">. </w:t>
      </w:r>
    </w:p>
    <w:p w:rsidR="006D538E" w:rsidRDefault="006D538E" w:rsidP="00DE0AE8">
      <w:pPr>
        <w:rPr>
          <w:color w:val="222222"/>
          <w:sz w:val="20"/>
          <w:szCs w:val="20"/>
        </w:rPr>
      </w:pPr>
    </w:p>
    <w:p w:rsidR="00DE0AE8" w:rsidRDefault="00DE0AE8" w:rsidP="00DE0AE8">
      <w:pPr>
        <w:pStyle w:val="Heading1"/>
        <w:ind w:left="720"/>
        <w:rPr>
          <w:rFonts w:ascii="Calibri Light" w:hAnsi="Calibri Light" w:cs="Calibri Light"/>
          <w:color w:val="2E74B5"/>
        </w:rPr>
      </w:pPr>
      <w:r>
        <w:rPr>
          <w:rFonts w:ascii="Arial" w:hAnsi="Arial" w:cs="Arial"/>
          <w:color w:val="2E74B5"/>
          <w:sz w:val="24"/>
          <w:szCs w:val="24"/>
        </w:rPr>
        <w:lastRenderedPageBreak/>
        <w:t>3.</w:t>
      </w:r>
      <w:r>
        <w:rPr>
          <w:rFonts w:ascii="Calibri Light" w:hAnsi="Calibri Light" w:cs="Calibri Light"/>
          <w:color w:val="2E74B5"/>
          <w:sz w:val="14"/>
          <w:szCs w:val="14"/>
        </w:rPr>
        <w:t>    </w:t>
      </w:r>
      <w:r>
        <w:rPr>
          <w:rFonts w:ascii="Arial" w:hAnsi="Arial" w:cs="Arial"/>
          <w:color w:val="2E74B5"/>
          <w:sz w:val="24"/>
          <w:szCs w:val="24"/>
        </w:rPr>
        <w:t>Conclusion</w:t>
      </w:r>
    </w:p>
    <w:p w:rsidR="00DE0AE8" w:rsidRDefault="00DE0AE8" w:rsidP="00DE0AE8">
      <w:pPr>
        <w:rPr>
          <w:color w:val="222222"/>
        </w:rPr>
      </w:pPr>
      <w:r>
        <w:rPr>
          <w:color w:val="222222"/>
          <w:sz w:val="20"/>
          <w:szCs w:val="20"/>
        </w:rPr>
        <w:t>The PC1.5 work item is in line on the 5G market. For avoiding unnecessary debates and moving forward of th</w:t>
      </w:r>
      <w:r w:rsidR="00D2580A">
        <w:rPr>
          <w:color w:val="222222"/>
          <w:sz w:val="20"/>
          <w:szCs w:val="20"/>
        </w:rPr>
        <w:t xml:space="preserve">e related requirements </w:t>
      </w:r>
      <w:r>
        <w:rPr>
          <w:color w:val="222222"/>
          <w:sz w:val="20"/>
          <w:szCs w:val="20"/>
        </w:rPr>
        <w:t xml:space="preserve">from RAN4, an alternative procedure </w:t>
      </w:r>
      <w:r w:rsidR="00304E2F">
        <w:rPr>
          <w:color w:val="222222"/>
          <w:sz w:val="20"/>
          <w:szCs w:val="20"/>
        </w:rPr>
        <w:t xml:space="preserve">for </w:t>
      </w:r>
      <w:r>
        <w:rPr>
          <w:color w:val="222222"/>
          <w:sz w:val="20"/>
          <w:szCs w:val="20"/>
        </w:rPr>
        <w:t>this work seems necessary. In this contribution, we have presented our consideration for PC1.5 work and summarized our proposals in below,</w:t>
      </w:r>
    </w:p>
    <w:p w:rsidR="00DE0AE8" w:rsidRDefault="00DE0AE8" w:rsidP="00DE0AE8">
      <w:pPr>
        <w:rPr>
          <w:color w:val="222222"/>
        </w:rPr>
      </w:pPr>
      <w:r>
        <w:rPr>
          <w:color w:val="222222"/>
          <w:sz w:val="20"/>
          <w:szCs w:val="20"/>
        </w:rPr>
        <w:t> </w:t>
      </w:r>
    </w:p>
    <w:p w:rsidR="00604E1E" w:rsidRDefault="00604E1E" w:rsidP="00604E1E">
      <w:pPr>
        <w:rPr>
          <w:b/>
          <w:bCs/>
          <w:color w:val="222222"/>
          <w:sz w:val="20"/>
          <w:szCs w:val="20"/>
        </w:rPr>
      </w:pPr>
      <w:r>
        <w:rPr>
          <w:b/>
          <w:bCs/>
          <w:color w:val="222222"/>
          <w:sz w:val="20"/>
          <w:szCs w:val="20"/>
        </w:rPr>
        <w:t xml:space="preserve">Proposal 1: Build FWA </w:t>
      </w:r>
      <w:r w:rsidR="00E72E45">
        <w:rPr>
          <w:b/>
          <w:bCs/>
          <w:color w:val="222222"/>
          <w:sz w:val="20"/>
          <w:szCs w:val="20"/>
        </w:rPr>
        <w:t xml:space="preserve">CPE </w:t>
      </w:r>
      <w:r>
        <w:rPr>
          <w:b/>
          <w:bCs/>
          <w:color w:val="222222"/>
          <w:sz w:val="20"/>
          <w:szCs w:val="20"/>
        </w:rPr>
        <w:t>RF requirement</w:t>
      </w:r>
      <w:r w:rsidR="00E72E45">
        <w:rPr>
          <w:b/>
          <w:bCs/>
          <w:color w:val="222222"/>
          <w:sz w:val="20"/>
          <w:szCs w:val="20"/>
        </w:rPr>
        <w:t>s</w:t>
      </w:r>
      <w:r>
        <w:rPr>
          <w:b/>
          <w:bCs/>
          <w:color w:val="222222"/>
          <w:sz w:val="20"/>
          <w:szCs w:val="20"/>
        </w:rPr>
        <w:t xml:space="preserve"> as starting point of this PC1.5 WID</w:t>
      </w:r>
    </w:p>
    <w:p w:rsidR="0093072E" w:rsidRDefault="0093072E" w:rsidP="00604E1E">
      <w:pPr>
        <w:rPr>
          <w:color w:val="222222"/>
        </w:rPr>
      </w:pPr>
    </w:p>
    <w:p w:rsidR="00604E1E" w:rsidRDefault="00604E1E" w:rsidP="00604E1E">
      <w:pPr>
        <w:rPr>
          <w:b/>
          <w:bCs/>
          <w:color w:val="222222"/>
          <w:sz w:val="20"/>
          <w:szCs w:val="20"/>
        </w:rPr>
      </w:pPr>
      <w:r>
        <w:rPr>
          <w:b/>
          <w:bCs/>
          <w:color w:val="222222"/>
          <w:sz w:val="20"/>
          <w:szCs w:val="20"/>
        </w:rPr>
        <w:t>Proposal 2: Make a quick decision for the device type signaling and inform this decision to RAN2.</w:t>
      </w:r>
    </w:p>
    <w:p w:rsidR="0093072E" w:rsidRDefault="0093072E" w:rsidP="00604E1E">
      <w:pPr>
        <w:rPr>
          <w:color w:val="222222"/>
        </w:rPr>
      </w:pPr>
    </w:p>
    <w:p w:rsidR="00604E1E" w:rsidRDefault="00604E1E" w:rsidP="00604E1E">
      <w:pPr>
        <w:rPr>
          <w:color w:val="222222"/>
        </w:rPr>
      </w:pPr>
      <w:r>
        <w:rPr>
          <w:color w:val="222222"/>
          <w:sz w:val="20"/>
          <w:szCs w:val="20"/>
        </w:rPr>
        <w:t> </w:t>
      </w:r>
    </w:p>
    <w:p w:rsidR="00DE0AE8" w:rsidRDefault="00DE0AE8" w:rsidP="00DE0AE8">
      <w:pPr>
        <w:rPr>
          <w:color w:val="222222"/>
        </w:rPr>
      </w:pPr>
      <w:r>
        <w:rPr>
          <w:rFonts w:ascii="Arial" w:hAnsi="Arial" w:cs="Arial"/>
          <w:color w:val="222222"/>
        </w:rPr>
        <w:t> </w:t>
      </w:r>
    </w:p>
    <w:p w:rsidR="00B93301" w:rsidRDefault="00B93301" w:rsidP="00B93301"/>
    <w:p w:rsidR="00950F1D" w:rsidRPr="0058244D" w:rsidRDefault="00950F1D" w:rsidP="00950F1D">
      <w:pPr>
        <w:pBdr>
          <w:bottom w:val="single" w:sz="4" w:space="3" w:color="auto"/>
        </w:pBdr>
        <w:rPr>
          <w:rFonts w:ascii="Arial" w:hAnsi="Arial" w:cs="Arial"/>
          <w:lang w:eastAsia="ja-JP"/>
        </w:rPr>
      </w:pPr>
    </w:p>
    <w:p w:rsidR="00791DA2" w:rsidRDefault="00791DA2" w:rsidP="00791DA2">
      <w:pPr>
        <w:pStyle w:val="Heading1"/>
        <w:ind w:left="720"/>
        <w:rPr>
          <w:rFonts w:ascii="Calibri Light" w:hAnsi="Calibri Light" w:cs="Calibri Light"/>
          <w:color w:val="2E74B5"/>
        </w:rPr>
      </w:pPr>
      <w:r>
        <w:rPr>
          <w:rFonts w:ascii="Arial" w:hAnsi="Arial" w:cs="Arial"/>
          <w:color w:val="2E74B5"/>
          <w:sz w:val="24"/>
          <w:szCs w:val="24"/>
        </w:rPr>
        <w:t>Reference</w:t>
      </w:r>
    </w:p>
    <w:p w:rsidR="00B93301" w:rsidRPr="006840BE" w:rsidRDefault="00791DA2" w:rsidP="00B93301">
      <w:pPr>
        <w:pStyle w:val="B3"/>
        <w:ind w:left="0" w:firstLine="0"/>
        <w:rPr>
          <w:sz w:val="20"/>
          <w:szCs w:val="20"/>
        </w:rPr>
      </w:pPr>
      <w:r w:rsidRPr="006840BE">
        <w:rPr>
          <w:sz w:val="20"/>
          <w:szCs w:val="20"/>
        </w:rPr>
        <w:t xml:space="preserve"> </w:t>
      </w:r>
      <w:r w:rsidR="002314AC" w:rsidRPr="006840BE">
        <w:rPr>
          <w:sz w:val="20"/>
          <w:szCs w:val="20"/>
        </w:rPr>
        <w:t xml:space="preserve">[1] </w:t>
      </w:r>
      <w:r w:rsidR="00077B11" w:rsidRPr="006840BE">
        <w:rPr>
          <w:color w:val="222222"/>
          <w:sz w:val="20"/>
          <w:szCs w:val="20"/>
          <w:shd w:val="clear" w:color="auto" w:fill="FFFFFF"/>
        </w:rPr>
        <w:t xml:space="preserve">RP-202912 </w:t>
      </w:r>
      <w:r w:rsidR="008724D0">
        <w:rPr>
          <w:color w:val="222222"/>
          <w:sz w:val="20"/>
          <w:szCs w:val="20"/>
          <w:shd w:val="clear" w:color="auto" w:fill="FFFFFF"/>
        </w:rPr>
        <w:tab/>
      </w:r>
      <w:r w:rsidR="00077B11" w:rsidRPr="006840BE">
        <w:rPr>
          <w:rFonts w:eastAsia="Batang"/>
          <w:sz w:val="20"/>
          <w:szCs w:val="20"/>
          <w:lang w:eastAsia="zh-CN"/>
        </w:rPr>
        <w:t>New WID on high-power devices operation use cases over Band n77 and n78, Verizon</w:t>
      </w:r>
    </w:p>
    <w:p w:rsidR="00B93301" w:rsidRPr="0058244D" w:rsidRDefault="00B93301" w:rsidP="00612DF3">
      <w:pPr>
        <w:pStyle w:val="B3"/>
        <w:ind w:left="0" w:firstLine="0"/>
        <w:rPr>
          <w:rFonts w:ascii="Arial" w:hAnsi="Arial" w:cs="Arial"/>
        </w:rPr>
      </w:pPr>
    </w:p>
    <w:sectPr w:rsidR="00B93301" w:rsidRPr="00582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F1304"/>
    <w:multiLevelType w:val="hybridMultilevel"/>
    <w:tmpl w:val="C42A19E4"/>
    <w:lvl w:ilvl="0" w:tplc="4D6A72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4150CB"/>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D170D2"/>
    <w:multiLevelType w:val="hybridMultilevel"/>
    <w:tmpl w:val="EA60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34A26"/>
    <w:multiLevelType w:val="hybridMultilevel"/>
    <w:tmpl w:val="D2324EC6"/>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3522B"/>
    <w:multiLevelType w:val="multilevel"/>
    <w:tmpl w:val="2084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5B6937"/>
    <w:multiLevelType w:val="hybridMultilevel"/>
    <w:tmpl w:val="620A91AA"/>
    <w:lvl w:ilvl="0" w:tplc="CD12EAE2">
      <w:start w:val="1"/>
      <w:numFmt w:val="bullet"/>
      <w:lvlText w:val="•"/>
      <w:lvlJc w:val="left"/>
      <w:pPr>
        <w:tabs>
          <w:tab w:val="num" w:pos="720"/>
        </w:tabs>
        <w:ind w:left="720" w:hanging="360"/>
      </w:pPr>
      <w:rPr>
        <w:rFonts w:ascii="Arial" w:hAnsi="Arial" w:hint="default"/>
      </w:rPr>
    </w:lvl>
    <w:lvl w:ilvl="1" w:tplc="8D78DD64" w:tentative="1">
      <w:start w:val="1"/>
      <w:numFmt w:val="bullet"/>
      <w:lvlText w:val="•"/>
      <w:lvlJc w:val="left"/>
      <w:pPr>
        <w:tabs>
          <w:tab w:val="num" w:pos="1440"/>
        </w:tabs>
        <w:ind w:left="1440" w:hanging="360"/>
      </w:pPr>
      <w:rPr>
        <w:rFonts w:ascii="Arial" w:hAnsi="Arial" w:hint="default"/>
      </w:rPr>
    </w:lvl>
    <w:lvl w:ilvl="2" w:tplc="DA7074F0" w:tentative="1">
      <w:start w:val="1"/>
      <w:numFmt w:val="bullet"/>
      <w:lvlText w:val="•"/>
      <w:lvlJc w:val="left"/>
      <w:pPr>
        <w:tabs>
          <w:tab w:val="num" w:pos="2160"/>
        </w:tabs>
        <w:ind w:left="2160" w:hanging="360"/>
      </w:pPr>
      <w:rPr>
        <w:rFonts w:ascii="Arial" w:hAnsi="Arial" w:hint="default"/>
      </w:rPr>
    </w:lvl>
    <w:lvl w:ilvl="3" w:tplc="814A8436" w:tentative="1">
      <w:start w:val="1"/>
      <w:numFmt w:val="bullet"/>
      <w:lvlText w:val="•"/>
      <w:lvlJc w:val="left"/>
      <w:pPr>
        <w:tabs>
          <w:tab w:val="num" w:pos="2880"/>
        </w:tabs>
        <w:ind w:left="2880" w:hanging="360"/>
      </w:pPr>
      <w:rPr>
        <w:rFonts w:ascii="Arial" w:hAnsi="Arial" w:hint="default"/>
      </w:rPr>
    </w:lvl>
    <w:lvl w:ilvl="4" w:tplc="93A473CE" w:tentative="1">
      <w:start w:val="1"/>
      <w:numFmt w:val="bullet"/>
      <w:lvlText w:val="•"/>
      <w:lvlJc w:val="left"/>
      <w:pPr>
        <w:tabs>
          <w:tab w:val="num" w:pos="3600"/>
        </w:tabs>
        <w:ind w:left="3600" w:hanging="360"/>
      </w:pPr>
      <w:rPr>
        <w:rFonts w:ascii="Arial" w:hAnsi="Arial" w:hint="default"/>
      </w:rPr>
    </w:lvl>
    <w:lvl w:ilvl="5" w:tplc="2DB6F3A2" w:tentative="1">
      <w:start w:val="1"/>
      <w:numFmt w:val="bullet"/>
      <w:lvlText w:val="•"/>
      <w:lvlJc w:val="left"/>
      <w:pPr>
        <w:tabs>
          <w:tab w:val="num" w:pos="4320"/>
        </w:tabs>
        <w:ind w:left="4320" w:hanging="360"/>
      </w:pPr>
      <w:rPr>
        <w:rFonts w:ascii="Arial" w:hAnsi="Arial" w:hint="default"/>
      </w:rPr>
    </w:lvl>
    <w:lvl w:ilvl="6" w:tplc="3216F5C6" w:tentative="1">
      <w:start w:val="1"/>
      <w:numFmt w:val="bullet"/>
      <w:lvlText w:val="•"/>
      <w:lvlJc w:val="left"/>
      <w:pPr>
        <w:tabs>
          <w:tab w:val="num" w:pos="5040"/>
        </w:tabs>
        <w:ind w:left="5040" w:hanging="360"/>
      </w:pPr>
      <w:rPr>
        <w:rFonts w:ascii="Arial" w:hAnsi="Arial" w:hint="default"/>
      </w:rPr>
    </w:lvl>
    <w:lvl w:ilvl="7" w:tplc="70ECA842" w:tentative="1">
      <w:start w:val="1"/>
      <w:numFmt w:val="bullet"/>
      <w:lvlText w:val="•"/>
      <w:lvlJc w:val="left"/>
      <w:pPr>
        <w:tabs>
          <w:tab w:val="num" w:pos="5760"/>
        </w:tabs>
        <w:ind w:left="5760" w:hanging="360"/>
      </w:pPr>
      <w:rPr>
        <w:rFonts w:ascii="Arial" w:hAnsi="Arial" w:hint="default"/>
      </w:rPr>
    </w:lvl>
    <w:lvl w:ilvl="8" w:tplc="7E46CD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97375"/>
    <w:multiLevelType w:val="hybridMultilevel"/>
    <w:tmpl w:val="55E81B2A"/>
    <w:lvl w:ilvl="0" w:tplc="7A28B840">
      <w:start w:val="1"/>
      <w:numFmt w:val="bullet"/>
      <w:lvlText w:val="•"/>
      <w:lvlJc w:val="left"/>
      <w:pPr>
        <w:tabs>
          <w:tab w:val="num" w:pos="720"/>
        </w:tabs>
        <w:ind w:left="720" w:hanging="360"/>
      </w:pPr>
      <w:rPr>
        <w:rFonts w:ascii="Arial" w:hAnsi="Arial" w:hint="default"/>
      </w:rPr>
    </w:lvl>
    <w:lvl w:ilvl="1" w:tplc="F5A451BA">
      <w:start w:val="1"/>
      <w:numFmt w:val="bullet"/>
      <w:lvlText w:val="•"/>
      <w:lvlJc w:val="left"/>
      <w:pPr>
        <w:tabs>
          <w:tab w:val="num" w:pos="1440"/>
        </w:tabs>
        <w:ind w:left="1440" w:hanging="360"/>
      </w:pPr>
      <w:rPr>
        <w:rFonts w:ascii="Arial" w:hAnsi="Arial" w:hint="default"/>
      </w:rPr>
    </w:lvl>
    <w:lvl w:ilvl="2" w:tplc="C7686482" w:tentative="1">
      <w:start w:val="1"/>
      <w:numFmt w:val="bullet"/>
      <w:lvlText w:val="•"/>
      <w:lvlJc w:val="left"/>
      <w:pPr>
        <w:tabs>
          <w:tab w:val="num" w:pos="2160"/>
        </w:tabs>
        <w:ind w:left="2160" w:hanging="360"/>
      </w:pPr>
      <w:rPr>
        <w:rFonts w:ascii="Arial" w:hAnsi="Arial" w:hint="default"/>
      </w:rPr>
    </w:lvl>
    <w:lvl w:ilvl="3" w:tplc="30465F8A" w:tentative="1">
      <w:start w:val="1"/>
      <w:numFmt w:val="bullet"/>
      <w:lvlText w:val="•"/>
      <w:lvlJc w:val="left"/>
      <w:pPr>
        <w:tabs>
          <w:tab w:val="num" w:pos="2880"/>
        </w:tabs>
        <w:ind w:left="2880" w:hanging="360"/>
      </w:pPr>
      <w:rPr>
        <w:rFonts w:ascii="Arial" w:hAnsi="Arial" w:hint="default"/>
      </w:rPr>
    </w:lvl>
    <w:lvl w:ilvl="4" w:tplc="C49072E4" w:tentative="1">
      <w:start w:val="1"/>
      <w:numFmt w:val="bullet"/>
      <w:lvlText w:val="•"/>
      <w:lvlJc w:val="left"/>
      <w:pPr>
        <w:tabs>
          <w:tab w:val="num" w:pos="3600"/>
        </w:tabs>
        <w:ind w:left="3600" w:hanging="360"/>
      </w:pPr>
      <w:rPr>
        <w:rFonts w:ascii="Arial" w:hAnsi="Arial" w:hint="default"/>
      </w:rPr>
    </w:lvl>
    <w:lvl w:ilvl="5" w:tplc="04AA4FF6" w:tentative="1">
      <w:start w:val="1"/>
      <w:numFmt w:val="bullet"/>
      <w:lvlText w:val="•"/>
      <w:lvlJc w:val="left"/>
      <w:pPr>
        <w:tabs>
          <w:tab w:val="num" w:pos="4320"/>
        </w:tabs>
        <w:ind w:left="4320" w:hanging="360"/>
      </w:pPr>
      <w:rPr>
        <w:rFonts w:ascii="Arial" w:hAnsi="Arial" w:hint="default"/>
      </w:rPr>
    </w:lvl>
    <w:lvl w:ilvl="6" w:tplc="012EBEA8" w:tentative="1">
      <w:start w:val="1"/>
      <w:numFmt w:val="bullet"/>
      <w:lvlText w:val="•"/>
      <w:lvlJc w:val="left"/>
      <w:pPr>
        <w:tabs>
          <w:tab w:val="num" w:pos="5040"/>
        </w:tabs>
        <w:ind w:left="5040" w:hanging="360"/>
      </w:pPr>
      <w:rPr>
        <w:rFonts w:ascii="Arial" w:hAnsi="Arial" w:hint="default"/>
      </w:rPr>
    </w:lvl>
    <w:lvl w:ilvl="7" w:tplc="C958D464" w:tentative="1">
      <w:start w:val="1"/>
      <w:numFmt w:val="bullet"/>
      <w:lvlText w:val="•"/>
      <w:lvlJc w:val="left"/>
      <w:pPr>
        <w:tabs>
          <w:tab w:val="num" w:pos="5760"/>
        </w:tabs>
        <w:ind w:left="5760" w:hanging="360"/>
      </w:pPr>
      <w:rPr>
        <w:rFonts w:ascii="Arial" w:hAnsi="Arial" w:hint="default"/>
      </w:rPr>
    </w:lvl>
    <w:lvl w:ilvl="8" w:tplc="ABE269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lvl>
    <w:lvl w:ilvl="1" w:tplc="04090003">
      <w:start w:val="1"/>
      <w:numFmt w:val="lowerLetter"/>
      <w:lvlText w:val="%2)"/>
      <w:lvlJc w:val="left"/>
      <w:pPr>
        <w:ind w:left="960" w:hanging="480"/>
      </w:pPr>
    </w:lvl>
    <w:lvl w:ilvl="2" w:tplc="04090005">
      <w:start w:val="1"/>
      <w:numFmt w:val="lowerRoman"/>
      <w:lvlText w:val="%3."/>
      <w:lvlJc w:val="right"/>
      <w:pPr>
        <w:ind w:left="1440" w:hanging="480"/>
      </w:pPr>
    </w:lvl>
    <w:lvl w:ilvl="3" w:tplc="04090001">
      <w:start w:val="1"/>
      <w:numFmt w:val="decimal"/>
      <w:lvlText w:val="%4."/>
      <w:lvlJc w:val="left"/>
      <w:pPr>
        <w:ind w:left="1920" w:hanging="480"/>
      </w:pPr>
    </w:lvl>
    <w:lvl w:ilvl="4" w:tplc="04090003">
      <w:start w:val="1"/>
      <w:numFmt w:val="lowerLetter"/>
      <w:lvlText w:val="%5)"/>
      <w:lvlJc w:val="left"/>
      <w:pPr>
        <w:ind w:left="2400" w:hanging="480"/>
      </w:pPr>
    </w:lvl>
    <w:lvl w:ilvl="5" w:tplc="04090005">
      <w:start w:val="1"/>
      <w:numFmt w:val="lowerRoman"/>
      <w:lvlText w:val="%6."/>
      <w:lvlJc w:val="right"/>
      <w:pPr>
        <w:ind w:left="2880" w:hanging="480"/>
      </w:pPr>
    </w:lvl>
    <w:lvl w:ilvl="6" w:tplc="04090001">
      <w:start w:val="1"/>
      <w:numFmt w:val="decimal"/>
      <w:lvlText w:val="%7."/>
      <w:lvlJc w:val="left"/>
      <w:pPr>
        <w:ind w:left="3360" w:hanging="480"/>
      </w:pPr>
    </w:lvl>
    <w:lvl w:ilvl="7" w:tplc="04090003">
      <w:start w:val="1"/>
      <w:numFmt w:val="lowerLetter"/>
      <w:lvlText w:val="%8)"/>
      <w:lvlJc w:val="left"/>
      <w:pPr>
        <w:ind w:left="3840" w:hanging="480"/>
      </w:pPr>
    </w:lvl>
    <w:lvl w:ilvl="8" w:tplc="04090005">
      <w:start w:val="1"/>
      <w:numFmt w:val="lowerRoman"/>
      <w:lvlText w:val="%9."/>
      <w:lvlJc w:val="right"/>
      <w:pPr>
        <w:ind w:left="4320" w:hanging="480"/>
      </w:pPr>
    </w:lvl>
  </w:abstractNum>
  <w:abstractNum w:abstractNumId="17" w15:restartNumberingAfterBreak="0">
    <w:nsid w:val="59BA77C7"/>
    <w:multiLevelType w:val="hybridMultilevel"/>
    <w:tmpl w:val="C158FD8E"/>
    <w:lvl w:ilvl="0" w:tplc="D08C39EE">
      <w:start w:val="1"/>
      <w:numFmt w:val="bullet"/>
      <w:lvlText w:val="•"/>
      <w:lvlJc w:val="left"/>
      <w:pPr>
        <w:tabs>
          <w:tab w:val="num" w:pos="720"/>
        </w:tabs>
        <w:ind w:left="720" w:hanging="360"/>
      </w:pPr>
      <w:rPr>
        <w:rFonts w:ascii="Arial" w:hAnsi="Arial" w:hint="default"/>
      </w:rPr>
    </w:lvl>
    <w:lvl w:ilvl="1" w:tplc="D17281B8">
      <w:start w:val="1"/>
      <w:numFmt w:val="bullet"/>
      <w:lvlText w:val="•"/>
      <w:lvlJc w:val="left"/>
      <w:pPr>
        <w:tabs>
          <w:tab w:val="num" w:pos="1440"/>
        </w:tabs>
        <w:ind w:left="1440" w:hanging="360"/>
      </w:pPr>
      <w:rPr>
        <w:rFonts w:ascii="Arial" w:hAnsi="Arial" w:hint="default"/>
      </w:rPr>
    </w:lvl>
    <w:lvl w:ilvl="2" w:tplc="E626DCE2" w:tentative="1">
      <w:start w:val="1"/>
      <w:numFmt w:val="bullet"/>
      <w:lvlText w:val="•"/>
      <w:lvlJc w:val="left"/>
      <w:pPr>
        <w:tabs>
          <w:tab w:val="num" w:pos="2160"/>
        </w:tabs>
        <w:ind w:left="2160" w:hanging="360"/>
      </w:pPr>
      <w:rPr>
        <w:rFonts w:ascii="Arial" w:hAnsi="Arial" w:hint="default"/>
      </w:rPr>
    </w:lvl>
    <w:lvl w:ilvl="3" w:tplc="6ECE6D32" w:tentative="1">
      <w:start w:val="1"/>
      <w:numFmt w:val="bullet"/>
      <w:lvlText w:val="•"/>
      <w:lvlJc w:val="left"/>
      <w:pPr>
        <w:tabs>
          <w:tab w:val="num" w:pos="2880"/>
        </w:tabs>
        <w:ind w:left="2880" w:hanging="360"/>
      </w:pPr>
      <w:rPr>
        <w:rFonts w:ascii="Arial" w:hAnsi="Arial" w:hint="default"/>
      </w:rPr>
    </w:lvl>
    <w:lvl w:ilvl="4" w:tplc="72A007E0" w:tentative="1">
      <w:start w:val="1"/>
      <w:numFmt w:val="bullet"/>
      <w:lvlText w:val="•"/>
      <w:lvlJc w:val="left"/>
      <w:pPr>
        <w:tabs>
          <w:tab w:val="num" w:pos="3600"/>
        </w:tabs>
        <w:ind w:left="3600" w:hanging="360"/>
      </w:pPr>
      <w:rPr>
        <w:rFonts w:ascii="Arial" w:hAnsi="Arial" w:hint="default"/>
      </w:rPr>
    </w:lvl>
    <w:lvl w:ilvl="5" w:tplc="7D905D8E" w:tentative="1">
      <w:start w:val="1"/>
      <w:numFmt w:val="bullet"/>
      <w:lvlText w:val="•"/>
      <w:lvlJc w:val="left"/>
      <w:pPr>
        <w:tabs>
          <w:tab w:val="num" w:pos="4320"/>
        </w:tabs>
        <w:ind w:left="4320" w:hanging="360"/>
      </w:pPr>
      <w:rPr>
        <w:rFonts w:ascii="Arial" w:hAnsi="Arial" w:hint="default"/>
      </w:rPr>
    </w:lvl>
    <w:lvl w:ilvl="6" w:tplc="7A84BD9C" w:tentative="1">
      <w:start w:val="1"/>
      <w:numFmt w:val="bullet"/>
      <w:lvlText w:val="•"/>
      <w:lvlJc w:val="left"/>
      <w:pPr>
        <w:tabs>
          <w:tab w:val="num" w:pos="5040"/>
        </w:tabs>
        <w:ind w:left="5040" w:hanging="360"/>
      </w:pPr>
      <w:rPr>
        <w:rFonts w:ascii="Arial" w:hAnsi="Arial" w:hint="default"/>
      </w:rPr>
    </w:lvl>
    <w:lvl w:ilvl="7" w:tplc="B46884CA" w:tentative="1">
      <w:start w:val="1"/>
      <w:numFmt w:val="bullet"/>
      <w:lvlText w:val="•"/>
      <w:lvlJc w:val="left"/>
      <w:pPr>
        <w:tabs>
          <w:tab w:val="num" w:pos="5760"/>
        </w:tabs>
        <w:ind w:left="5760" w:hanging="360"/>
      </w:pPr>
      <w:rPr>
        <w:rFonts w:ascii="Arial" w:hAnsi="Arial" w:hint="default"/>
      </w:rPr>
    </w:lvl>
    <w:lvl w:ilvl="8" w:tplc="A4B40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07E89"/>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F943F0"/>
    <w:multiLevelType w:val="hybridMultilevel"/>
    <w:tmpl w:val="3DF8D308"/>
    <w:lvl w:ilvl="0" w:tplc="94E6A0F6">
      <w:start w:val="1"/>
      <w:numFmt w:val="bullet"/>
      <w:lvlText w:val="•"/>
      <w:lvlJc w:val="left"/>
      <w:pPr>
        <w:tabs>
          <w:tab w:val="num" w:pos="720"/>
        </w:tabs>
        <w:ind w:left="720" w:hanging="360"/>
      </w:pPr>
      <w:rPr>
        <w:rFonts w:ascii="Arial" w:hAnsi="Arial" w:hint="default"/>
      </w:rPr>
    </w:lvl>
    <w:lvl w:ilvl="1" w:tplc="761479FE">
      <w:start w:val="1"/>
      <w:numFmt w:val="bullet"/>
      <w:lvlText w:val="•"/>
      <w:lvlJc w:val="left"/>
      <w:pPr>
        <w:tabs>
          <w:tab w:val="num" w:pos="1440"/>
        </w:tabs>
        <w:ind w:left="1440" w:hanging="360"/>
      </w:pPr>
      <w:rPr>
        <w:rFonts w:ascii="Arial" w:hAnsi="Arial" w:hint="default"/>
      </w:rPr>
    </w:lvl>
    <w:lvl w:ilvl="2" w:tplc="7278C7BA" w:tentative="1">
      <w:start w:val="1"/>
      <w:numFmt w:val="bullet"/>
      <w:lvlText w:val="•"/>
      <w:lvlJc w:val="left"/>
      <w:pPr>
        <w:tabs>
          <w:tab w:val="num" w:pos="2160"/>
        </w:tabs>
        <w:ind w:left="2160" w:hanging="360"/>
      </w:pPr>
      <w:rPr>
        <w:rFonts w:ascii="Arial" w:hAnsi="Arial" w:hint="default"/>
      </w:rPr>
    </w:lvl>
    <w:lvl w:ilvl="3" w:tplc="A5F89B8E" w:tentative="1">
      <w:start w:val="1"/>
      <w:numFmt w:val="bullet"/>
      <w:lvlText w:val="•"/>
      <w:lvlJc w:val="left"/>
      <w:pPr>
        <w:tabs>
          <w:tab w:val="num" w:pos="2880"/>
        </w:tabs>
        <w:ind w:left="2880" w:hanging="360"/>
      </w:pPr>
      <w:rPr>
        <w:rFonts w:ascii="Arial" w:hAnsi="Arial" w:hint="default"/>
      </w:rPr>
    </w:lvl>
    <w:lvl w:ilvl="4" w:tplc="21F660B8" w:tentative="1">
      <w:start w:val="1"/>
      <w:numFmt w:val="bullet"/>
      <w:lvlText w:val="•"/>
      <w:lvlJc w:val="left"/>
      <w:pPr>
        <w:tabs>
          <w:tab w:val="num" w:pos="3600"/>
        </w:tabs>
        <w:ind w:left="3600" w:hanging="360"/>
      </w:pPr>
      <w:rPr>
        <w:rFonts w:ascii="Arial" w:hAnsi="Arial" w:hint="default"/>
      </w:rPr>
    </w:lvl>
    <w:lvl w:ilvl="5" w:tplc="FAECD696" w:tentative="1">
      <w:start w:val="1"/>
      <w:numFmt w:val="bullet"/>
      <w:lvlText w:val="•"/>
      <w:lvlJc w:val="left"/>
      <w:pPr>
        <w:tabs>
          <w:tab w:val="num" w:pos="4320"/>
        </w:tabs>
        <w:ind w:left="4320" w:hanging="360"/>
      </w:pPr>
      <w:rPr>
        <w:rFonts w:ascii="Arial" w:hAnsi="Arial" w:hint="default"/>
      </w:rPr>
    </w:lvl>
    <w:lvl w:ilvl="6" w:tplc="DE68DDE6" w:tentative="1">
      <w:start w:val="1"/>
      <w:numFmt w:val="bullet"/>
      <w:lvlText w:val="•"/>
      <w:lvlJc w:val="left"/>
      <w:pPr>
        <w:tabs>
          <w:tab w:val="num" w:pos="5040"/>
        </w:tabs>
        <w:ind w:left="5040" w:hanging="360"/>
      </w:pPr>
      <w:rPr>
        <w:rFonts w:ascii="Arial" w:hAnsi="Arial" w:hint="default"/>
      </w:rPr>
    </w:lvl>
    <w:lvl w:ilvl="7" w:tplc="7C02B558" w:tentative="1">
      <w:start w:val="1"/>
      <w:numFmt w:val="bullet"/>
      <w:lvlText w:val="•"/>
      <w:lvlJc w:val="left"/>
      <w:pPr>
        <w:tabs>
          <w:tab w:val="num" w:pos="5760"/>
        </w:tabs>
        <w:ind w:left="5760" w:hanging="360"/>
      </w:pPr>
      <w:rPr>
        <w:rFonts w:ascii="Arial" w:hAnsi="Arial" w:hint="default"/>
      </w:rPr>
    </w:lvl>
    <w:lvl w:ilvl="8" w:tplc="5F466B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C1EB3"/>
    <w:multiLevelType w:val="hybridMultilevel"/>
    <w:tmpl w:val="02A26558"/>
    <w:lvl w:ilvl="0" w:tplc="53AA1E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64B7AA3"/>
    <w:multiLevelType w:val="hybridMultilevel"/>
    <w:tmpl w:val="413CF056"/>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33C6C"/>
    <w:multiLevelType w:val="hybridMultilevel"/>
    <w:tmpl w:val="788E75E0"/>
    <w:lvl w:ilvl="0" w:tplc="B54CC128">
      <w:start w:val="1"/>
      <w:numFmt w:val="bullet"/>
      <w:lvlText w:val="•"/>
      <w:lvlJc w:val="left"/>
      <w:pPr>
        <w:tabs>
          <w:tab w:val="num" w:pos="720"/>
        </w:tabs>
        <w:ind w:left="720" w:hanging="360"/>
      </w:pPr>
      <w:rPr>
        <w:rFonts w:ascii="Arial" w:hAnsi="Arial" w:hint="default"/>
      </w:rPr>
    </w:lvl>
    <w:lvl w:ilvl="1" w:tplc="D1B47332">
      <w:numFmt w:val="bullet"/>
      <w:lvlText w:val="•"/>
      <w:lvlJc w:val="left"/>
      <w:pPr>
        <w:tabs>
          <w:tab w:val="num" w:pos="1440"/>
        </w:tabs>
        <w:ind w:left="1440" w:hanging="360"/>
      </w:pPr>
      <w:rPr>
        <w:rFonts w:ascii="Arial" w:hAnsi="Arial" w:hint="default"/>
      </w:rPr>
    </w:lvl>
    <w:lvl w:ilvl="2" w:tplc="C1EE4E48" w:tentative="1">
      <w:start w:val="1"/>
      <w:numFmt w:val="bullet"/>
      <w:lvlText w:val="•"/>
      <w:lvlJc w:val="left"/>
      <w:pPr>
        <w:tabs>
          <w:tab w:val="num" w:pos="2160"/>
        </w:tabs>
        <w:ind w:left="2160" w:hanging="360"/>
      </w:pPr>
      <w:rPr>
        <w:rFonts w:ascii="Arial" w:hAnsi="Arial" w:hint="default"/>
      </w:rPr>
    </w:lvl>
    <w:lvl w:ilvl="3" w:tplc="766ECBEE" w:tentative="1">
      <w:start w:val="1"/>
      <w:numFmt w:val="bullet"/>
      <w:lvlText w:val="•"/>
      <w:lvlJc w:val="left"/>
      <w:pPr>
        <w:tabs>
          <w:tab w:val="num" w:pos="2880"/>
        </w:tabs>
        <w:ind w:left="2880" w:hanging="360"/>
      </w:pPr>
      <w:rPr>
        <w:rFonts w:ascii="Arial" w:hAnsi="Arial" w:hint="default"/>
      </w:rPr>
    </w:lvl>
    <w:lvl w:ilvl="4" w:tplc="1BA4A3C4" w:tentative="1">
      <w:start w:val="1"/>
      <w:numFmt w:val="bullet"/>
      <w:lvlText w:val="•"/>
      <w:lvlJc w:val="left"/>
      <w:pPr>
        <w:tabs>
          <w:tab w:val="num" w:pos="3600"/>
        </w:tabs>
        <w:ind w:left="3600" w:hanging="360"/>
      </w:pPr>
      <w:rPr>
        <w:rFonts w:ascii="Arial" w:hAnsi="Arial" w:hint="default"/>
      </w:rPr>
    </w:lvl>
    <w:lvl w:ilvl="5" w:tplc="0DF6E548" w:tentative="1">
      <w:start w:val="1"/>
      <w:numFmt w:val="bullet"/>
      <w:lvlText w:val="•"/>
      <w:lvlJc w:val="left"/>
      <w:pPr>
        <w:tabs>
          <w:tab w:val="num" w:pos="4320"/>
        </w:tabs>
        <w:ind w:left="4320" w:hanging="360"/>
      </w:pPr>
      <w:rPr>
        <w:rFonts w:ascii="Arial" w:hAnsi="Arial" w:hint="default"/>
      </w:rPr>
    </w:lvl>
    <w:lvl w:ilvl="6" w:tplc="94389804" w:tentative="1">
      <w:start w:val="1"/>
      <w:numFmt w:val="bullet"/>
      <w:lvlText w:val="•"/>
      <w:lvlJc w:val="left"/>
      <w:pPr>
        <w:tabs>
          <w:tab w:val="num" w:pos="5040"/>
        </w:tabs>
        <w:ind w:left="5040" w:hanging="360"/>
      </w:pPr>
      <w:rPr>
        <w:rFonts w:ascii="Arial" w:hAnsi="Arial" w:hint="default"/>
      </w:rPr>
    </w:lvl>
    <w:lvl w:ilvl="7" w:tplc="71D45D78" w:tentative="1">
      <w:start w:val="1"/>
      <w:numFmt w:val="bullet"/>
      <w:lvlText w:val="•"/>
      <w:lvlJc w:val="left"/>
      <w:pPr>
        <w:tabs>
          <w:tab w:val="num" w:pos="5760"/>
        </w:tabs>
        <w:ind w:left="5760" w:hanging="360"/>
      </w:pPr>
      <w:rPr>
        <w:rFonts w:ascii="Arial" w:hAnsi="Arial" w:hint="default"/>
      </w:rPr>
    </w:lvl>
    <w:lvl w:ilvl="8" w:tplc="628646D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8"/>
  </w:num>
  <w:num w:numId="5">
    <w:abstractNumId w:val="6"/>
  </w:num>
  <w:num w:numId="6">
    <w:abstractNumId w:val="4"/>
  </w:num>
  <w:num w:numId="7">
    <w:abstractNumId w:val="10"/>
  </w:num>
  <w:num w:numId="8">
    <w:abstractNumId w:val="3"/>
  </w:num>
  <w:num w:numId="9">
    <w:abstractNumId w:val="21"/>
  </w:num>
  <w:num w:numId="10">
    <w:abstractNumId w:val="13"/>
  </w:num>
  <w:num w:numId="11">
    <w:abstractNumId w:val="8"/>
  </w:num>
  <w:num w:numId="12">
    <w:abstractNumId w:val="15"/>
  </w:num>
  <w:num w:numId="13">
    <w:abstractNumId w:val="1"/>
  </w:num>
  <w:num w:numId="14">
    <w:abstractNumId w:val="5"/>
  </w:num>
  <w:num w:numId="15">
    <w:abstractNumId w:val="0"/>
  </w:num>
  <w:num w:numId="16">
    <w:abstractNumId w:val="2"/>
  </w:num>
  <w:num w:numId="17">
    <w:abstractNumId w:val="22"/>
  </w:num>
  <w:num w:numId="18">
    <w:abstractNumId w:val="14"/>
  </w:num>
  <w:num w:numId="19">
    <w:abstractNumId w:val="7"/>
  </w:num>
  <w:num w:numId="20">
    <w:abstractNumId w:val="9"/>
  </w:num>
  <w:num w:numId="21">
    <w:abstractNumId w:val="11"/>
  </w:num>
  <w:num w:numId="22">
    <w:abstractNumId w:val="12"/>
  </w:num>
  <w:num w:numId="23">
    <w:abstractNumId w:val="17"/>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D36"/>
    <w:rsid w:val="00013947"/>
    <w:rsid w:val="00020040"/>
    <w:rsid w:val="00025A37"/>
    <w:rsid w:val="00052685"/>
    <w:rsid w:val="00057823"/>
    <w:rsid w:val="0006101B"/>
    <w:rsid w:val="00064085"/>
    <w:rsid w:val="00066F76"/>
    <w:rsid w:val="00076878"/>
    <w:rsid w:val="00077B11"/>
    <w:rsid w:val="000802A9"/>
    <w:rsid w:val="000839DC"/>
    <w:rsid w:val="0008551E"/>
    <w:rsid w:val="00094024"/>
    <w:rsid w:val="00094920"/>
    <w:rsid w:val="00095D6F"/>
    <w:rsid w:val="0009738C"/>
    <w:rsid w:val="000A36F7"/>
    <w:rsid w:val="000B0983"/>
    <w:rsid w:val="000B4D3C"/>
    <w:rsid w:val="000C5850"/>
    <w:rsid w:val="000D0600"/>
    <w:rsid w:val="000D101C"/>
    <w:rsid w:val="000D1199"/>
    <w:rsid w:val="000E5B7A"/>
    <w:rsid w:val="000F2191"/>
    <w:rsid w:val="000F2B5C"/>
    <w:rsid w:val="000F6DA4"/>
    <w:rsid w:val="001048E4"/>
    <w:rsid w:val="00106735"/>
    <w:rsid w:val="0011714F"/>
    <w:rsid w:val="00134E75"/>
    <w:rsid w:val="001356FC"/>
    <w:rsid w:val="00137602"/>
    <w:rsid w:val="0013794E"/>
    <w:rsid w:val="00147A76"/>
    <w:rsid w:val="00150CCA"/>
    <w:rsid w:val="00152CF5"/>
    <w:rsid w:val="00160D28"/>
    <w:rsid w:val="0016392D"/>
    <w:rsid w:val="00166A9F"/>
    <w:rsid w:val="001677DD"/>
    <w:rsid w:val="00171966"/>
    <w:rsid w:val="00175608"/>
    <w:rsid w:val="00176663"/>
    <w:rsid w:val="00183CBE"/>
    <w:rsid w:val="00184AF4"/>
    <w:rsid w:val="00185DDC"/>
    <w:rsid w:val="00194901"/>
    <w:rsid w:val="0019634C"/>
    <w:rsid w:val="00196F29"/>
    <w:rsid w:val="001A3BD6"/>
    <w:rsid w:val="001A5BDC"/>
    <w:rsid w:val="001B4246"/>
    <w:rsid w:val="001B53F9"/>
    <w:rsid w:val="001B7352"/>
    <w:rsid w:val="001C2013"/>
    <w:rsid w:val="001C7832"/>
    <w:rsid w:val="001C7DBC"/>
    <w:rsid w:val="001D504F"/>
    <w:rsid w:val="001D621C"/>
    <w:rsid w:val="001D7B1F"/>
    <w:rsid w:val="001F016F"/>
    <w:rsid w:val="00202CDA"/>
    <w:rsid w:val="00204755"/>
    <w:rsid w:val="002060F0"/>
    <w:rsid w:val="002065E6"/>
    <w:rsid w:val="002110FF"/>
    <w:rsid w:val="00213FCC"/>
    <w:rsid w:val="00215594"/>
    <w:rsid w:val="00220738"/>
    <w:rsid w:val="00221079"/>
    <w:rsid w:val="0022745D"/>
    <w:rsid w:val="002314AC"/>
    <w:rsid w:val="0023201B"/>
    <w:rsid w:val="002324F5"/>
    <w:rsid w:val="002526BA"/>
    <w:rsid w:val="00254843"/>
    <w:rsid w:val="002561EE"/>
    <w:rsid w:val="00256BB8"/>
    <w:rsid w:val="00257669"/>
    <w:rsid w:val="002603DD"/>
    <w:rsid w:val="0026461E"/>
    <w:rsid w:val="00282D36"/>
    <w:rsid w:val="00283E98"/>
    <w:rsid w:val="00284CF1"/>
    <w:rsid w:val="0028693B"/>
    <w:rsid w:val="00292CB2"/>
    <w:rsid w:val="00296348"/>
    <w:rsid w:val="002B0033"/>
    <w:rsid w:val="002B3602"/>
    <w:rsid w:val="002B4960"/>
    <w:rsid w:val="002C343F"/>
    <w:rsid w:val="002D1296"/>
    <w:rsid w:val="002E1AEA"/>
    <w:rsid w:val="002E43EB"/>
    <w:rsid w:val="002E5576"/>
    <w:rsid w:val="002F3A50"/>
    <w:rsid w:val="002F4776"/>
    <w:rsid w:val="002F61EA"/>
    <w:rsid w:val="002F6F48"/>
    <w:rsid w:val="0030460A"/>
    <w:rsid w:val="00304E2F"/>
    <w:rsid w:val="003059AB"/>
    <w:rsid w:val="003107CC"/>
    <w:rsid w:val="003217F4"/>
    <w:rsid w:val="00325363"/>
    <w:rsid w:val="00325AD1"/>
    <w:rsid w:val="0033054E"/>
    <w:rsid w:val="0034561E"/>
    <w:rsid w:val="003501EA"/>
    <w:rsid w:val="00352DDD"/>
    <w:rsid w:val="00353897"/>
    <w:rsid w:val="00370859"/>
    <w:rsid w:val="00384DA4"/>
    <w:rsid w:val="003A0B75"/>
    <w:rsid w:val="003A2970"/>
    <w:rsid w:val="003B3659"/>
    <w:rsid w:val="003C61C4"/>
    <w:rsid w:val="003D70C6"/>
    <w:rsid w:val="003E06EB"/>
    <w:rsid w:val="003E2014"/>
    <w:rsid w:val="003E2E61"/>
    <w:rsid w:val="003E3931"/>
    <w:rsid w:val="003E424E"/>
    <w:rsid w:val="003E7846"/>
    <w:rsid w:val="003F0A96"/>
    <w:rsid w:val="003F2189"/>
    <w:rsid w:val="003F2B82"/>
    <w:rsid w:val="003F3C8F"/>
    <w:rsid w:val="00411063"/>
    <w:rsid w:val="00413D3E"/>
    <w:rsid w:val="00430C2E"/>
    <w:rsid w:val="0043251F"/>
    <w:rsid w:val="00440A61"/>
    <w:rsid w:val="00446E69"/>
    <w:rsid w:val="00452C8D"/>
    <w:rsid w:val="00452F3D"/>
    <w:rsid w:val="004602CC"/>
    <w:rsid w:val="00480C44"/>
    <w:rsid w:val="00481C7D"/>
    <w:rsid w:val="004868E1"/>
    <w:rsid w:val="00486EF7"/>
    <w:rsid w:val="0049566E"/>
    <w:rsid w:val="004960F3"/>
    <w:rsid w:val="004A2B5D"/>
    <w:rsid w:val="004B7EAC"/>
    <w:rsid w:val="004C0A72"/>
    <w:rsid w:val="004C13E3"/>
    <w:rsid w:val="004C1F1F"/>
    <w:rsid w:val="004C7186"/>
    <w:rsid w:val="004D516D"/>
    <w:rsid w:val="004D6950"/>
    <w:rsid w:val="00505AC6"/>
    <w:rsid w:val="00513F6C"/>
    <w:rsid w:val="00515741"/>
    <w:rsid w:val="005264E6"/>
    <w:rsid w:val="00531808"/>
    <w:rsid w:val="00541AE1"/>
    <w:rsid w:val="00544D74"/>
    <w:rsid w:val="00556D82"/>
    <w:rsid w:val="00557D46"/>
    <w:rsid w:val="005629DE"/>
    <w:rsid w:val="00574868"/>
    <w:rsid w:val="005749E0"/>
    <w:rsid w:val="0057790D"/>
    <w:rsid w:val="00582335"/>
    <w:rsid w:val="0058244D"/>
    <w:rsid w:val="0059004A"/>
    <w:rsid w:val="00595499"/>
    <w:rsid w:val="00597E5D"/>
    <w:rsid w:val="005A4D8D"/>
    <w:rsid w:val="005D21DD"/>
    <w:rsid w:val="005D32A2"/>
    <w:rsid w:val="005E18D7"/>
    <w:rsid w:val="005E62AC"/>
    <w:rsid w:val="005E697B"/>
    <w:rsid w:val="005F253F"/>
    <w:rsid w:val="005F5B06"/>
    <w:rsid w:val="0060218B"/>
    <w:rsid w:val="00602CB3"/>
    <w:rsid w:val="00603580"/>
    <w:rsid w:val="00604C2D"/>
    <w:rsid w:val="00604E1E"/>
    <w:rsid w:val="00612DF3"/>
    <w:rsid w:val="00624028"/>
    <w:rsid w:val="006242DF"/>
    <w:rsid w:val="00626BE0"/>
    <w:rsid w:val="006303AC"/>
    <w:rsid w:val="0063055C"/>
    <w:rsid w:val="00636524"/>
    <w:rsid w:val="00641E4F"/>
    <w:rsid w:val="00646764"/>
    <w:rsid w:val="006475BA"/>
    <w:rsid w:val="00651F84"/>
    <w:rsid w:val="00672AFB"/>
    <w:rsid w:val="006751FC"/>
    <w:rsid w:val="006766FB"/>
    <w:rsid w:val="0067729B"/>
    <w:rsid w:val="00680488"/>
    <w:rsid w:val="00682E1B"/>
    <w:rsid w:val="006840BE"/>
    <w:rsid w:val="006843C5"/>
    <w:rsid w:val="00690B1A"/>
    <w:rsid w:val="0069124F"/>
    <w:rsid w:val="00692AEE"/>
    <w:rsid w:val="006949EF"/>
    <w:rsid w:val="00695079"/>
    <w:rsid w:val="00695E1B"/>
    <w:rsid w:val="00696F90"/>
    <w:rsid w:val="006A6B4C"/>
    <w:rsid w:val="006C1B2F"/>
    <w:rsid w:val="006C359A"/>
    <w:rsid w:val="006C36D6"/>
    <w:rsid w:val="006C58E4"/>
    <w:rsid w:val="006C797C"/>
    <w:rsid w:val="006D538E"/>
    <w:rsid w:val="006D7669"/>
    <w:rsid w:val="006E748E"/>
    <w:rsid w:val="006F607B"/>
    <w:rsid w:val="00700E0D"/>
    <w:rsid w:val="007038C2"/>
    <w:rsid w:val="007057B4"/>
    <w:rsid w:val="00707F69"/>
    <w:rsid w:val="00717758"/>
    <w:rsid w:val="00721D1C"/>
    <w:rsid w:val="00730CC3"/>
    <w:rsid w:val="00741030"/>
    <w:rsid w:val="00744031"/>
    <w:rsid w:val="007444FA"/>
    <w:rsid w:val="00750116"/>
    <w:rsid w:val="00754114"/>
    <w:rsid w:val="00757D4A"/>
    <w:rsid w:val="00763B39"/>
    <w:rsid w:val="007650B7"/>
    <w:rsid w:val="00783CE2"/>
    <w:rsid w:val="007859CC"/>
    <w:rsid w:val="00791DA2"/>
    <w:rsid w:val="00793ADE"/>
    <w:rsid w:val="007977EF"/>
    <w:rsid w:val="007B31DF"/>
    <w:rsid w:val="007B662E"/>
    <w:rsid w:val="007C5301"/>
    <w:rsid w:val="007C5440"/>
    <w:rsid w:val="007C60D5"/>
    <w:rsid w:val="007D2466"/>
    <w:rsid w:val="007D3AD5"/>
    <w:rsid w:val="007E02E0"/>
    <w:rsid w:val="007E05F7"/>
    <w:rsid w:val="007E185B"/>
    <w:rsid w:val="007E3470"/>
    <w:rsid w:val="007E3F52"/>
    <w:rsid w:val="007F4866"/>
    <w:rsid w:val="007F6B7B"/>
    <w:rsid w:val="007F6D50"/>
    <w:rsid w:val="008020FB"/>
    <w:rsid w:val="008167A4"/>
    <w:rsid w:val="00820CD9"/>
    <w:rsid w:val="00821556"/>
    <w:rsid w:val="008222C8"/>
    <w:rsid w:val="008223D9"/>
    <w:rsid w:val="008240F9"/>
    <w:rsid w:val="008272E6"/>
    <w:rsid w:val="00837642"/>
    <w:rsid w:val="008419FB"/>
    <w:rsid w:val="00843915"/>
    <w:rsid w:val="00860B84"/>
    <w:rsid w:val="00860C85"/>
    <w:rsid w:val="00861233"/>
    <w:rsid w:val="00867F20"/>
    <w:rsid w:val="008724D0"/>
    <w:rsid w:val="00882AA4"/>
    <w:rsid w:val="00886C72"/>
    <w:rsid w:val="008948AC"/>
    <w:rsid w:val="008A0840"/>
    <w:rsid w:val="008A69B6"/>
    <w:rsid w:val="008B1EA2"/>
    <w:rsid w:val="008B7921"/>
    <w:rsid w:val="008D0431"/>
    <w:rsid w:val="008D1E2F"/>
    <w:rsid w:val="008D23CF"/>
    <w:rsid w:val="008D3425"/>
    <w:rsid w:val="008D6631"/>
    <w:rsid w:val="008E13D6"/>
    <w:rsid w:val="008E31F6"/>
    <w:rsid w:val="008E391D"/>
    <w:rsid w:val="008F2DA5"/>
    <w:rsid w:val="008F3DCF"/>
    <w:rsid w:val="008F6BF5"/>
    <w:rsid w:val="00901549"/>
    <w:rsid w:val="00910B58"/>
    <w:rsid w:val="00920A6B"/>
    <w:rsid w:val="009220AC"/>
    <w:rsid w:val="00922E4E"/>
    <w:rsid w:val="0093072E"/>
    <w:rsid w:val="00936403"/>
    <w:rsid w:val="009369CF"/>
    <w:rsid w:val="00940649"/>
    <w:rsid w:val="00942A61"/>
    <w:rsid w:val="009503C6"/>
    <w:rsid w:val="00950F1D"/>
    <w:rsid w:val="009538C4"/>
    <w:rsid w:val="00953FA6"/>
    <w:rsid w:val="009573C9"/>
    <w:rsid w:val="00976E68"/>
    <w:rsid w:val="0098211E"/>
    <w:rsid w:val="009830CE"/>
    <w:rsid w:val="00986D8F"/>
    <w:rsid w:val="009934DB"/>
    <w:rsid w:val="0099355B"/>
    <w:rsid w:val="009B4334"/>
    <w:rsid w:val="009B7587"/>
    <w:rsid w:val="009B7A17"/>
    <w:rsid w:val="009C1AD9"/>
    <w:rsid w:val="009C2DB2"/>
    <w:rsid w:val="009C37D5"/>
    <w:rsid w:val="009D7B4D"/>
    <w:rsid w:val="009E4153"/>
    <w:rsid w:val="009F42BD"/>
    <w:rsid w:val="009F569A"/>
    <w:rsid w:val="00A03959"/>
    <w:rsid w:val="00A07620"/>
    <w:rsid w:val="00A23B5C"/>
    <w:rsid w:val="00A24D4A"/>
    <w:rsid w:val="00A250BC"/>
    <w:rsid w:val="00A27049"/>
    <w:rsid w:val="00A27778"/>
    <w:rsid w:val="00A34354"/>
    <w:rsid w:val="00A510D1"/>
    <w:rsid w:val="00A66FE1"/>
    <w:rsid w:val="00A7189B"/>
    <w:rsid w:val="00A84652"/>
    <w:rsid w:val="00A85666"/>
    <w:rsid w:val="00A9166B"/>
    <w:rsid w:val="00A9542F"/>
    <w:rsid w:val="00A9683A"/>
    <w:rsid w:val="00AB4A04"/>
    <w:rsid w:val="00AD00D2"/>
    <w:rsid w:val="00AD114E"/>
    <w:rsid w:val="00AE3ACC"/>
    <w:rsid w:val="00AE4C1A"/>
    <w:rsid w:val="00AF116D"/>
    <w:rsid w:val="00B022F5"/>
    <w:rsid w:val="00B03EDF"/>
    <w:rsid w:val="00B0756B"/>
    <w:rsid w:val="00B10739"/>
    <w:rsid w:val="00B1303B"/>
    <w:rsid w:val="00B2398E"/>
    <w:rsid w:val="00B30E19"/>
    <w:rsid w:val="00B30F77"/>
    <w:rsid w:val="00B373E9"/>
    <w:rsid w:val="00B41312"/>
    <w:rsid w:val="00B42561"/>
    <w:rsid w:val="00B515FA"/>
    <w:rsid w:val="00B517BE"/>
    <w:rsid w:val="00B520E2"/>
    <w:rsid w:val="00B64407"/>
    <w:rsid w:val="00B66206"/>
    <w:rsid w:val="00B7516C"/>
    <w:rsid w:val="00B9325C"/>
    <w:rsid w:val="00B93301"/>
    <w:rsid w:val="00B9342A"/>
    <w:rsid w:val="00BA00AF"/>
    <w:rsid w:val="00BA699E"/>
    <w:rsid w:val="00BB0B53"/>
    <w:rsid w:val="00BC48E9"/>
    <w:rsid w:val="00BC5EBA"/>
    <w:rsid w:val="00BD5B2C"/>
    <w:rsid w:val="00BE40B8"/>
    <w:rsid w:val="00BE51B1"/>
    <w:rsid w:val="00BE75E8"/>
    <w:rsid w:val="00BF2FB3"/>
    <w:rsid w:val="00BF5B10"/>
    <w:rsid w:val="00BF674A"/>
    <w:rsid w:val="00C004C0"/>
    <w:rsid w:val="00C00941"/>
    <w:rsid w:val="00C011EB"/>
    <w:rsid w:val="00C07CCD"/>
    <w:rsid w:val="00C10F5F"/>
    <w:rsid w:val="00C118C4"/>
    <w:rsid w:val="00C158EB"/>
    <w:rsid w:val="00C15E66"/>
    <w:rsid w:val="00C1621C"/>
    <w:rsid w:val="00C25DE3"/>
    <w:rsid w:val="00C32D00"/>
    <w:rsid w:val="00C3434F"/>
    <w:rsid w:val="00C43A26"/>
    <w:rsid w:val="00C464DB"/>
    <w:rsid w:val="00C50581"/>
    <w:rsid w:val="00C552D5"/>
    <w:rsid w:val="00C72E8C"/>
    <w:rsid w:val="00CB2C77"/>
    <w:rsid w:val="00CB5957"/>
    <w:rsid w:val="00CB7468"/>
    <w:rsid w:val="00CC1EEE"/>
    <w:rsid w:val="00CD0EDE"/>
    <w:rsid w:val="00CE088D"/>
    <w:rsid w:val="00CE2C18"/>
    <w:rsid w:val="00CE4B90"/>
    <w:rsid w:val="00CE719F"/>
    <w:rsid w:val="00CF63C5"/>
    <w:rsid w:val="00D02262"/>
    <w:rsid w:val="00D04523"/>
    <w:rsid w:val="00D17370"/>
    <w:rsid w:val="00D17DCE"/>
    <w:rsid w:val="00D2580A"/>
    <w:rsid w:val="00D30275"/>
    <w:rsid w:val="00D34F32"/>
    <w:rsid w:val="00D36ED2"/>
    <w:rsid w:val="00D44BA8"/>
    <w:rsid w:val="00D5110C"/>
    <w:rsid w:val="00D5202F"/>
    <w:rsid w:val="00D5721B"/>
    <w:rsid w:val="00D57694"/>
    <w:rsid w:val="00D60591"/>
    <w:rsid w:val="00D610BC"/>
    <w:rsid w:val="00D65B46"/>
    <w:rsid w:val="00D67EAD"/>
    <w:rsid w:val="00D7237B"/>
    <w:rsid w:val="00D72CAF"/>
    <w:rsid w:val="00D779A0"/>
    <w:rsid w:val="00D81DA8"/>
    <w:rsid w:val="00D866D1"/>
    <w:rsid w:val="00DB4ACC"/>
    <w:rsid w:val="00DC07A3"/>
    <w:rsid w:val="00DD695B"/>
    <w:rsid w:val="00DE0AE8"/>
    <w:rsid w:val="00DE2C72"/>
    <w:rsid w:val="00DE2F2E"/>
    <w:rsid w:val="00DF49F5"/>
    <w:rsid w:val="00DF6B5B"/>
    <w:rsid w:val="00E16104"/>
    <w:rsid w:val="00E31025"/>
    <w:rsid w:val="00E31D00"/>
    <w:rsid w:val="00E340BC"/>
    <w:rsid w:val="00E36F0A"/>
    <w:rsid w:val="00E41062"/>
    <w:rsid w:val="00E466FD"/>
    <w:rsid w:val="00E52B29"/>
    <w:rsid w:val="00E61203"/>
    <w:rsid w:val="00E61933"/>
    <w:rsid w:val="00E64ABF"/>
    <w:rsid w:val="00E65BA2"/>
    <w:rsid w:val="00E6786E"/>
    <w:rsid w:val="00E70425"/>
    <w:rsid w:val="00E72E45"/>
    <w:rsid w:val="00E75006"/>
    <w:rsid w:val="00E77BD4"/>
    <w:rsid w:val="00E81338"/>
    <w:rsid w:val="00E8341B"/>
    <w:rsid w:val="00E943C2"/>
    <w:rsid w:val="00EA6025"/>
    <w:rsid w:val="00EB2F89"/>
    <w:rsid w:val="00EB4856"/>
    <w:rsid w:val="00EC0305"/>
    <w:rsid w:val="00EC4747"/>
    <w:rsid w:val="00EC7B62"/>
    <w:rsid w:val="00EE068A"/>
    <w:rsid w:val="00EE554B"/>
    <w:rsid w:val="00EF109A"/>
    <w:rsid w:val="00F0110B"/>
    <w:rsid w:val="00F025BC"/>
    <w:rsid w:val="00F16725"/>
    <w:rsid w:val="00F2116D"/>
    <w:rsid w:val="00F27ED2"/>
    <w:rsid w:val="00F400D1"/>
    <w:rsid w:val="00F43185"/>
    <w:rsid w:val="00F44FB9"/>
    <w:rsid w:val="00F5674B"/>
    <w:rsid w:val="00F624D1"/>
    <w:rsid w:val="00F63243"/>
    <w:rsid w:val="00F726F1"/>
    <w:rsid w:val="00F73D09"/>
    <w:rsid w:val="00F8487D"/>
    <w:rsid w:val="00F871CB"/>
    <w:rsid w:val="00F908F8"/>
    <w:rsid w:val="00F9776C"/>
    <w:rsid w:val="00FA2728"/>
    <w:rsid w:val="00FA4FC0"/>
    <w:rsid w:val="00FA6104"/>
    <w:rsid w:val="00FA6295"/>
    <w:rsid w:val="00FB55BD"/>
    <w:rsid w:val="00FC4F67"/>
    <w:rsid w:val="00FC6C01"/>
    <w:rsid w:val="00FC6E15"/>
    <w:rsid w:val="00FD1F46"/>
    <w:rsid w:val="00FD6E0E"/>
    <w:rsid w:val="00FD6FD0"/>
    <w:rsid w:val="00FE064D"/>
    <w:rsid w:val="00FF2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9A1DF4-8EEB-4A68-BA06-F5A88E064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47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2D3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82D36"/>
    <w:pPr>
      <w:spacing w:before="180" w:after="180"/>
      <w:ind w:left="1134" w:hanging="1134"/>
      <w:outlineLvl w:val="1"/>
    </w:pPr>
    <w:rPr>
      <w:rFonts w:ascii="Arial" w:eastAsiaTheme="minorEastAsia"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282D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282D3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82D36"/>
    <w:rPr>
      <w:rFonts w:ascii="Arial" w:eastAsiaTheme="minorEastAsia"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82D36"/>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82D36"/>
    <w:rPr>
      <w:rFonts w:ascii="Arial" w:eastAsiaTheme="minorEastAsia" w:hAnsi="Arial" w:cs="Times New Roman"/>
      <w:sz w:val="24"/>
      <w:szCs w:val="20"/>
      <w:lang w:val="en-GB"/>
    </w:rPr>
  </w:style>
  <w:style w:type="paragraph" w:customStyle="1" w:styleId="TAL">
    <w:name w:val="TAL"/>
    <w:basedOn w:val="Normal"/>
    <w:link w:val="TALChar"/>
    <w:qFormat/>
    <w:rsid w:val="00282D36"/>
    <w:pPr>
      <w:keepNext/>
      <w:keepLines/>
    </w:pPr>
    <w:rPr>
      <w:rFonts w:ascii="Arial" w:hAnsi="Arial"/>
      <w:sz w:val="18"/>
    </w:rPr>
  </w:style>
  <w:style w:type="paragraph" w:customStyle="1" w:styleId="TAH">
    <w:name w:val="TAH"/>
    <w:basedOn w:val="TAC"/>
    <w:link w:val="TAHCar"/>
    <w:qFormat/>
    <w:rsid w:val="00282D36"/>
    <w:rPr>
      <w:b/>
    </w:rPr>
  </w:style>
  <w:style w:type="paragraph" w:customStyle="1" w:styleId="TAC">
    <w:name w:val="TAC"/>
    <w:basedOn w:val="TAL"/>
    <w:link w:val="TACChar"/>
    <w:qFormat/>
    <w:rsid w:val="00282D36"/>
    <w:pPr>
      <w:jc w:val="center"/>
    </w:pPr>
  </w:style>
  <w:style w:type="paragraph" w:customStyle="1" w:styleId="TH">
    <w:name w:val="TH"/>
    <w:basedOn w:val="Normal"/>
    <w:link w:val="THChar"/>
    <w:qFormat/>
    <w:rsid w:val="00282D36"/>
    <w:pPr>
      <w:keepNext/>
      <w:keepLines/>
      <w:spacing w:before="60"/>
      <w:jc w:val="center"/>
    </w:pPr>
    <w:rPr>
      <w:rFonts w:ascii="Arial" w:hAnsi="Arial"/>
      <w:b/>
    </w:rPr>
  </w:style>
  <w:style w:type="character" w:customStyle="1" w:styleId="THChar">
    <w:name w:val="TH Char"/>
    <w:link w:val="TH"/>
    <w:qFormat/>
    <w:rsid w:val="00282D36"/>
    <w:rPr>
      <w:rFonts w:ascii="Arial" w:eastAsiaTheme="minorEastAsia" w:hAnsi="Arial" w:cs="Times New Roman"/>
      <w:b/>
      <w:sz w:val="20"/>
      <w:szCs w:val="20"/>
      <w:lang w:val="en-GB"/>
    </w:rPr>
  </w:style>
  <w:style w:type="character" w:customStyle="1" w:styleId="TAHCar">
    <w:name w:val="TAH Car"/>
    <w:link w:val="TAH"/>
    <w:qFormat/>
    <w:rsid w:val="00282D36"/>
    <w:rPr>
      <w:rFonts w:ascii="Arial" w:eastAsiaTheme="minorEastAsia" w:hAnsi="Arial" w:cs="Times New Roman"/>
      <w:b/>
      <w:sz w:val="18"/>
      <w:szCs w:val="20"/>
      <w:lang w:val="en-GB"/>
    </w:rPr>
  </w:style>
  <w:style w:type="character" w:customStyle="1" w:styleId="TACChar">
    <w:name w:val="TAC Char"/>
    <w:link w:val="TAC"/>
    <w:qFormat/>
    <w:rsid w:val="00282D36"/>
    <w:rPr>
      <w:rFonts w:ascii="Arial" w:eastAsiaTheme="minorEastAsia" w:hAnsi="Arial" w:cs="Times New Roman"/>
      <w:sz w:val="18"/>
      <w:szCs w:val="20"/>
      <w:lang w:val="en-GB"/>
    </w:rPr>
  </w:style>
  <w:style w:type="character" w:customStyle="1" w:styleId="TALChar">
    <w:name w:val="TAL Char"/>
    <w:link w:val="TAL"/>
    <w:qFormat/>
    <w:rsid w:val="00282D36"/>
    <w:rPr>
      <w:rFonts w:ascii="Arial" w:eastAsiaTheme="minorEastAsia" w:hAnsi="Arial" w:cs="Times New Roman"/>
      <w:sz w:val="18"/>
      <w:szCs w:val="20"/>
      <w:lang w:val="en-GB"/>
    </w:rPr>
  </w:style>
  <w:style w:type="character" w:customStyle="1" w:styleId="Heading1Char">
    <w:name w:val="Heading 1 Char"/>
    <w:basedOn w:val="DefaultParagraphFont"/>
    <w:link w:val="Heading1"/>
    <w:uiPriority w:val="9"/>
    <w:rsid w:val="00282D36"/>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82D3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282D3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282D36"/>
    <w:rPr>
      <w:rFonts w:ascii="Times New Roman" w:eastAsiaTheme="minorEastAsia" w:hAnsi="Times New Roman" w:cs="Times New Roman"/>
      <w:sz w:val="20"/>
      <w:szCs w:val="20"/>
      <w:lang w:val="en-GB"/>
    </w:rPr>
  </w:style>
  <w:style w:type="paragraph" w:styleId="NoSpacing">
    <w:name w:val="No Spacing"/>
    <w:uiPriority w:val="1"/>
    <w:qFormat/>
    <w:rsid w:val="00282D36"/>
    <w:pPr>
      <w:spacing w:after="0" w:line="240" w:lineRule="auto"/>
    </w:pPr>
    <w:rPr>
      <w:rFonts w:ascii="Times New Roman" w:eastAsia="Times New Roman" w:hAnsi="Times New Roman" w:cs="Times New Roman"/>
      <w:sz w:val="20"/>
      <w:szCs w:val="20"/>
      <w:lang w:val="en-GB"/>
    </w:rPr>
  </w:style>
  <w:style w:type="paragraph" w:customStyle="1" w:styleId="ZA">
    <w:name w:val="ZA"/>
    <w:rsid w:val="00282D3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styleId="NormalWeb">
    <w:name w:val="Normal (Web)"/>
    <w:basedOn w:val="Normal"/>
    <w:uiPriority w:val="99"/>
    <w:semiHidden/>
    <w:unhideWhenUsed/>
    <w:rsid w:val="0008551E"/>
    <w:pPr>
      <w:spacing w:before="100" w:beforeAutospacing="1" w:after="100" w:afterAutospacing="1"/>
    </w:pPr>
    <w:rPr>
      <w:rFonts w:eastAsia="Arial Unicode MS"/>
    </w:rPr>
  </w:style>
  <w:style w:type="paragraph" w:customStyle="1" w:styleId="B3">
    <w:name w:val="B3"/>
    <w:basedOn w:val="List3"/>
    <w:rsid w:val="00C3434F"/>
    <w:pPr>
      <w:ind w:left="1135" w:hanging="284"/>
      <w:contextualSpacing w:val="0"/>
    </w:pPr>
    <w:rPr>
      <w:rFonts w:eastAsia="SimSun"/>
    </w:rPr>
  </w:style>
  <w:style w:type="paragraph" w:styleId="List3">
    <w:name w:val="List 3"/>
    <w:basedOn w:val="Normal"/>
    <w:uiPriority w:val="99"/>
    <w:semiHidden/>
    <w:unhideWhenUsed/>
    <w:rsid w:val="00C3434F"/>
    <w:pPr>
      <w:ind w:left="1080" w:hanging="360"/>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列表段落,목록단락"/>
    <w:basedOn w:val="Normal"/>
    <w:link w:val="ListParagraphChar"/>
    <w:uiPriority w:val="99"/>
    <w:qFormat/>
    <w:rsid w:val="00936403"/>
    <w:pPr>
      <w:ind w:left="720"/>
      <w:contextualSpacing/>
    </w:pPr>
  </w:style>
  <w:style w:type="paragraph" w:customStyle="1" w:styleId="TAN">
    <w:name w:val="TAN"/>
    <w:basedOn w:val="TAL"/>
    <w:link w:val="TANChar"/>
    <w:qFormat/>
    <w:rsid w:val="00052685"/>
    <w:pPr>
      <w:ind w:left="851" w:hanging="851"/>
    </w:pPr>
    <w:rPr>
      <w:rFonts w:eastAsiaTheme="minorEastAsia"/>
      <w:szCs w:val="20"/>
      <w:lang w:val="en-GB"/>
    </w:rPr>
  </w:style>
  <w:style w:type="character" w:customStyle="1" w:styleId="TANChar">
    <w:name w:val="TAN Char"/>
    <w:link w:val="TAN"/>
    <w:qFormat/>
    <w:rsid w:val="00052685"/>
    <w:rPr>
      <w:rFonts w:ascii="Arial" w:eastAsiaTheme="minorEastAsia" w:hAnsi="Arial" w:cs="Times New Roman"/>
      <w:sz w:val="18"/>
      <w:szCs w:val="20"/>
      <w:lang w:val="en-GB"/>
    </w:rPr>
  </w:style>
  <w:style w:type="paragraph" w:styleId="BalloonText">
    <w:name w:val="Balloon Text"/>
    <w:basedOn w:val="Normal"/>
    <w:link w:val="BalloonTextChar"/>
    <w:uiPriority w:val="99"/>
    <w:semiHidden/>
    <w:unhideWhenUsed/>
    <w:rsid w:val="002060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0F0"/>
    <w:rPr>
      <w:rFonts w:ascii="Segoe UI" w:eastAsia="Times New Roman" w:hAnsi="Segoe UI" w:cs="Segoe UI"/>
      <w:sz w:val="18"/>
      <w:szCs w:val="18"/>
    </w:rPr>
  </w:style>
  <w:style w:type="paragraph" w:customStyle="1" w:styleId="B1">
    <w:name w:val="B1"/>
    <w:basedOn w:val="Normal"/>
    <w:link w:val="B1Char1"/>
    <w:qFormat/>
    <w:rsid w:val="00184AF4"/>
    <w:pPr>
      <w:overflowPunct w:val="0"/>
      <w:autoSpaceDE w:val="0"/>
      <w:autoSpaceDN w:val="0"/>
      <w:adjustRightInd w:val="0"/>
      <w:spacing w:after="180"/>
      <w:ind w:left="568" w:hanging="284"/>
      <w:textAlignment w:val="baseline"/>
    </w:pPr>
    <w:rPr>
      <w:rFonts w:eastAsia="SimSun"/>
      <w:sz w:val="20"/>
      <w:szCs w:val="20"/>
      <w:lang w:eastAsia="zh-CN"/>
    </w:rPr>
  </w:style>
  <w:style w:type="character" w:customStyle="1" w:styleId="B1Char1">
    <w:name w:val="B1 Char1"/>
    <w:link w:val="B1"/>
    <w:locked/>
    <w:rsid w:val="00184AF4"/>
    <w:rPr>
      <w:rFonts w:ascii="Times New Roman" w:eastAsia="SimSun" w:hAnsi="Times New Roman" w:cs="Times New Roman"/>
      <w:sz w:val="20"/>
      <w:szCs w:val="20"/>
      <w:lang w:eastAsia="zh-CN"/>
    </w:rPr>
  </w:style>
  <w:style w:type="character" w:styleId="Hyperlink">
    <w:name w:val="Hyperlink"/>
    <w:basedOn w:val="DefaultParagraphFont"/>
    <w:uiPriority w:val="99"/>
    <w:semiHidden/>
    <w:unhideWhenUsed/>
    <w:rsid w:val="000F2191"/>
    <w:rPr>
      <w:color w:val="0000FF"/>
      <w:u w:val="single"/>
    </w:rPr>
  </w:style>
  <w:style w:type="character" w:styleId="FollowedHyperlink">
    <w:name w:val="FollowedHyperlink"/>
    <w:basedOn w:val="DefaultParagraphFont"/>
    <w:uiPriority w:val="99"/>
    <w:semiHidden/>
    <w:unhideWhenUsed/>
    <w:rsid w:val="005A4D8D"/>
    <w:rPr>
      <w:color w:val="954F72" w:themeColor="followedHyperlink"/>
      <w:u w:val="singl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99"/>
    <w:qFormat/>
    <w:locked/>
    <w:rsid w:val="003F2189"/>
    <w:rPr>
      <w:rFonts w:ascii="Times New Roman" w:eastAsia="Times New Roman" w:hAnsi="Times New Roman" w:cs="Times New Roman"/>
      <w:sz w:val="24"/>
      <w:szCs w:val="24"/>
    </w:rPr>
  </w:style>
  <w:style w:type="character" w:styleId="Strong">
    <w:name w:val="Strong"/>
    <w:basedOn w:val="DefaultParagraphFont"/>
    <w:uiPriority w:val="22"/>
    <w:qFormat/>
    <w:rsid w:val="00EE068A"/>
    <w:rPr>
      <w:b/>
      <w:bCs/>
    </w:rPr>
  </w:style>
  <w:style w:type="character" w:styleId="Emphasis">
    <w:name w:val="Emphasis"/>
    <w:basedOn w:val="DefaultParagraphFont"/>
    <w:uiPriority w:val="20"/>
    <w:qFormat/>
    <w:rsid w:val="00215594"/>
    <w:rPr>
      <w:b/>
      <w:bCs/>
      <w:i w:val="0"/>
      <w:iCs w:val="0"/>
    </w:rPr>
  </w:style>
  <w:style w:type="paragraph" w:customStyle="1" w:styleId="gmail-msolistparagraph">
    <w:name w:val="gmail-msolistparagraph"/>
    <w:basedOn w:val="Normal"/>
    <w:rsid w:val="009B758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6275">
      <w:bodyDiv w:val="1"/>
      <w:marLeft w:val="0"/>
      <w:marRight w:val="0"/>
      <w:marTop w:val="0"/>
      <w:marBottom w:val="0"/>
      <w:divBdr>
        <w:top w:val="none" w:sz="0" w:space="0" w:color="auto"/>
        <w:left w:val="none" w:sz="0" w:space="0" w:color="auto"/>
        <w:bottom w:val="none" w:sz="0" w:space="0" w:color="auto"/>
        <w:right w:val="none" w:sz="0" w:space="0" w:color="auto"/>
      </w:divBdr>
    </w:div>
    <w:div w:id="135879267">
      <w:bodyDiv w:val="1"/>
      <w:marLeft w:val="0"/>
      <w:marRight w:val="0"/>
      <w:marTop w:val="0"/>
      <w:marBottom w:val="0"/>
      <w:divBdr>
        <w:top w:val="none" w:sz="0" w:space="0" w:color="auto"/>
        <w:left w:val="none" w:sz="0" w:space="0" w:color="auto"/>
        <w:bottom w:val="none" w:sz="0" w:space="0" w:color="auto"/>
        <w:right w:val="none" w:sz="0" w:space="0" w:color="auto"/>
      </w:divBdr>
    </w:div>
    <w:div w:id="389614843">
      <w:bodyDiv w:val="1"/>
      <w:marLeft w:val="0"/>
      <w:marRight w:val="0"/>
      <w:marTop w:val="0"/>
      <w:marBottom w:val="0"/>
      <w:divBdr>
        <w:top w:val="none" w:sz="0" w:space="0" w:color="auto"/>
        <w:left w:val="none" w:sz="0" w:space="0" w:color="auto"/>
        <w:bottom w:val="none" w:sz="0" w:space="0" w:color="auto"/>
        <w:right w:val="none" w:sz="0" w:space="0" w:color="auto"/>
      </w:divBdr>
      <w:divsChild>
        <w:div w:id="5990242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6982320">
              <w:marLeft w:val="0"/>
              <w:marRight w:val="0"/>
              <w:marTop w:val="0"/>
              <w:marBottom w:val="0"/>
              <w:divBdr>
                <w:top w:val="none" w:sz="0" w:space="0" w:color="auto"/>
                <w:left w:val="none" w:sz="0" w:space="0" w:color="auto"/>
                <w:bottom w:val="none" w:sz="0" w:space="0" w:color="auto"/>
                <w:right w:val="none" w:sz="0" w:space="0" w:color="auto"/>
              </w:divBdr>
              <w:divsChild>
                <w:div w:id="418989593">
                  <w:marLeft w:val="0"/>
                  <w:marRight w:val="0"/>
                  <w:marTop w:val="0"/>
                  <w:marBottom w:val="0"/>
                  <w:divBdr>
                    <w:top w:val="none" w:sz="0" w:space="0" w:color="auto"/>
                    <w:left w:val="none" w:sz="0" w:space="0" w:color="auto"/>
                    <w:bottom w:val="none" w:sz="0" w:space="0" w:color="auto"/>
                    <w:right w:val="none" w:sz="0" w:space="0" w:color="auto"/>
                  </w:divBdr>
                  <w:divsChild>
                    <w:div w:id="1631856944">
                      <w:marLeft w:val="0"/>
                      <w:marRight w:val="0"/>
                      <w:marTop w:val="0"/>
                      <w:marBottom w:val="0"/>
                      <w:divBdr>
                        <w:top w:val="none" w:sz="0" w:space="0" w:color="auto"/>
                        <w:left w:val="none" w:sz="0" w:space="0" w:color="auto"/>
                        <w:bottom w:val="none" w:sz="0" w:space="0" w:color="auto"/>
                        <w:right w:val="none" w:sz="0" w:space="0" w:color="auto"/>
                      </w:divBdr>
                      <w:divsChild>
                        <w:div w:id="2028169232">
                          <w:marLeft w:val="0"/>
                          <w:marRight w:val="0"/>
                          <w:marTop w:val="0"/>
                          <w:marBottom w:val="0"/>
                          <w:divBdr>
                            <w:top w:val="none" w:sz="0" w:space="0" w:color="auto"/>
                            <w:left w:val="none" w:sz="0" w:space="0" w:color="auto"/>
                            <w:bottom w:val="none" w:sz="0" w:space="0" w:color="auto"/>
                            <w:right w:val="none" w:sz="0" w:space="0" w:color="auto"/>
                          </w:divBdr>
                          <w:divsChild>
                            <w:div w:id="155194859">
                              <w:marLeft w:val="0"/>
                              <w:marRight w:val="0"/>
                              <w:marTop w:val="0"/>
                              <w:marBottom w:val="0"/>
                              <w:divBdr>
                                <w:top w:val="none" w:sz="0" w:space="0" w:color="auto"/>
                                <w:left w:val="none" w:sz="0" w:space="0" w:color="auto"/>
                                <w:bottom w:val="none" w:sz="0" w:space="0" w:color="auto"/>
                                <w:right w:val="none" w:sz="0" w:space="0" w:color="auto"/>
                              </w:divBdr>
                              <w:divsChild>
                                <w:div w:id="1465346953">
                                  <w:marLeft w:val="0"/>
                                  <w:marRight w:val="0"/>
                                  <w:marTop w:val="0"/>
                                  <w:marBottom w:val="0"/>
                                  <w:divBdr>
                                    <w:top w:val="none" w:sz="0" w:space="0" w:color="auto"/>
                                    <w:left w:val="none" w:sz="0" w:space="0" w:color="auto"/>
                                    <w:bottom w:val="none" w:sz="0" w:space="0" w:color="auto"/>
                                    <w:right w:val="none" w:sz="0" w:space="0" w:color="auto"/>
                                  </w:divBdr>
                                  <w:divsChild>
                                    <w:div w:id="26045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1749420">
      <w:bodyDiv w:val="1"/>
      <w:marLeft w:val="0"/>
      <w:marRight w:val="0"/>
      <w:marTop w:val="0"/>
      <w:marBottom w:val="0"/>
      <w:divBdr>
        <w:top w:val="none" w:sz="0" w:space="0" w:color="auto"/>
        <w:left w:val="none" w:sz="0" w:space="0" w:color="auto"/>
        <w:bottom w:val="none" w:sz="0" w:space="0" w:color="auto"/>
        <w:right w:val="none" w:sz="0" w:space="0" w:color="auto"/>
      </w:divBdr>
    </w:div>
    <w:div w:id="960766660">
      <w:bodyDiv w:val="1"/>
      <w:marLeft w:val="0"/>
      <w:marRight w:val="0"/>
      <w:marTop w:val="0"/>
      <w:marBottom w:val="0"/>
      <w:divBdr>
        <w:top w:val="none" w:sz="0" w:space="0" w:color="auto"/>
        <w:left w:val="none" w:sz="0" w:space="0" w:color="auto"/>
        <w:bottom w:val="none" w:sz="0" w:space="0" w:color="auto"/>
        <w:right w:val="none" w:sz="0" w:space="0" w:color="auto"/>
      </w:divBdr>
      <w:divsChild>
        <w:div w:id="1910453917">
          <w:marLeft w:val="1080"/>
          <w:marRight w:val="0"/>
          <w:marTop w:val="100"/>
          <w:marBottom w:val="0"/>
          <w:divBdr>
            <w:top w:val="none" w:sz="0" w:space="0" w:color="auto"/>
            <w:left w:val="none" w:sz="0" w:space="0" w:color="auto"/>
            <w:bottom w:val="none" w:sz="0" w:space="0" w:color="auto"/>
            <w:right w:val="none" w:sz="0" w:space="0" w:color="auto"/>
          </w:divBdr>
        </w:div>
      </w:divsChild>
    </w:div>
    <w:div w:id="1056390336">
      <w:bodyDiv w:val="1"/>
      <w:marLeft w:val="0"/>
      <w:marRight w:val="0"/>
      <w:marTop w:val="0"/>
      <w:marBottom w:val="0"/>
      <w:divBdr>
        <w:top w:val="none" w:sz="0" w:space="0" w:color="auto"/>
        <w:left w:val="none" w:sz="0" w:space="0" w:color="auto"/>
        <w:bottom w:val="none" w:sz="0" w:space="0" w:color="auto"/>
        <w:right w:val="none" w:sz="0" w:space="0" w:color="auto"/>
      </w:divBdr>
      <w:divsChild>
        <w:div w:id="1178428071">
          <w:marLeft w:val="0"/>
          <w:marRight w:val="0"/>
          <w:marTop w:val="0"/>
          <w:marBottom w:val="0"/>
          <w:divBdr>
            <w:top w:val="none" w:sz="0" w:space="0" w:color="auto"/>
            <w:left w:val="none" w:sz="0" w:space="0" w:color="auto"/>
            <w:bottom w:val="single" w:sz="8" w:space="1" w:color="auto"/>
            <w:right w:val="none" w:sz="0" w:space="0" w:color="auto"/>
          </w:divBdr>
        </w:div>
      </w:divsChild>
    </w:div>
    <w:div w:id="1142188487">
      <w:bodyDiv w:val="1"/>
      <w:marLeft w:val="0"/>
      <w:marRight w:val="0"/>
      <w:marTop w:val="0"/>
      <w:marBottom w:val="0"/>
      <w:divBdr>
        <w:top w:val="none" w:sz="0" w:space="0" w:color="auto"/>
        <w:left w:val="none" w:sz="0" w:space="0" w:color="auto"/>
        <w:bottom w:val="none" w:sz="0" w:space="0" w:color="auto"/>
        <w:right w:val="none" w:sz="0" w:space="0" w:color="auto"/>
      </w:divBdr>
      <w:divsChild>
        <w:div w:id="727609794">
          <w:marLeft w:val="360"/>
          <w:marRight w:val="0"/>
          <w:marTop w:val="200"/>
          <w:marBottom w:val="0"/>
          <w:divBdr>
            <w:top w:val="none" w:sz="0" w:space="0" w:color="auto"/>
            <w:left w:val="none" w:sz="0" w:space="0" w:color="auto"/>
            <w:bottom w:val="none" w:sz="0" w:space="0" w:color="auto"/>
            <w:right w:val="none" w:sz="0" w:space="0" w:color="auto"/>
          </w:divBdr>
        </w:div>
        <w:div w:id="345404087">
          <w:marLeft w:val="360"/>
          <w:marRight w:val="0"/>
          <w:marTop w:val="200"/>
          <w:marBottom w:val="0"/>
          <w:divBdr>
            <w:top w:val="none" w:sz="0" w:space="0" w:color="auto"/>
            <w:left w:val="none" w:sz="0" w:space="0" w:color="auto"/>
            <w:bottom w:val="none" w:sz="0" w:space="0" w:color="auto"/>
            <w:right w:val="none" w:sz="0" w:space="0" w:color="auto"/>
          </w:divBdr>
        </w:div>
        <w:div w:id="2090734185">
          <w:marLeft w:val="360"/>
          <w:marRight w:val="0"/>
          <w:marTop w:val="200"/>
          <w:marBottom w:val="0"/>
          <w:divBdr>
            <w:top w:val="none" w:sz="0" w:space="0" w:color="auto"/>
            <w:left w:val="none" w:sz="0" w:space="0" w:color="auto"/>
            <w:bottom w:val="none" w:sz="0" w:space="0" w:color="auto"/>
            <w:right w:val="none" w:sz="0" w:space="0" w:color="auto"/>
          </w:divBdr>
        </w:div>
        <w:div w:id="448470539">
          <w:marLeft w:val="360"/>
          <w:marRight w:val="0"/>
          <w:marTop w:val="200"/>
          <w:marBottom w:val="0"/>
          <w:divBdr>
            <w:top w:val="none" w:sz="0" w:space="0" w:color="auto"/>
            <w:left w:val="none" w:sz="0" w:space="0" w:color="auto"/>
            <w:bottom w:val="none" w:sz="0" w:space="0" w:color="auto"/>
            <w:right w:val="none" w:sz="0" w:space="0" w:color="auto"/>
          </w:divBdr>
        </w:div>
        <w:div w:id="732117587">
          <w:marLeft w:val="1080"/>
          <w:marRight w:val="0"/>
          <w:marTop w:val="100"/>
          <w:marBottom w:val="0"/>
          <w:divBdr>
            <w:top w:val="none" w:sz="0" w:space="0" w:color="auto"/>
            <w:left w:val="none" w:sz="0" w:space="0" w:color="auto"/>
            <w:bottom w:val="none" w:sz="0" w:space="0" w:color="auto"/>
            <w:right w:val="none" w:sz="0" w:space="0" w:color="auto"/>
          </w:divBdr>
        </w:div>
        <w:div w:id="524027290">
          <w:marLeft w:val="1080"/>
          <w:marRight w:val="0"/>
          <w:marTop w:val="100"/>
          <w:marBottom w:val="0"/>
          <w:divBdr>
            <w:top w:val="none" w:sz="0" w:space="0" w:color="auto"/>
            <w:left w:val="none" w:sz="0" w:space="0" w:color="auto"/>
            <w:bottom w:val="none" w:sz="0" w:space="0" w:color="auto"/>
            <w:right w:val="none" w:sz="0" w:space="0" w:color="auto"/>
          </w:divBdr>
        </w:div>
        <w:div w:id="259686271">
          <w:marLeft w:val="1080"/>
          <w:marRight w:val="0"/>
          <w:marTop w:val="100"/>
          <w:marBottom w:val="0"/>
          <w:divBdr>
            <w:top w:val="none" w:sz="0" w:space="0" w:color="auto"/>
            <w:left w:val="none" w:sz="0" w:space="0" w:color="auto"/>
            <w:bottom w:val="none" w:sz="0" w:space="0" w:color="auto"/>
            <w:right w:val="none" w:sz="0" w:space="0" w:color="auto"/>
          </w:divBdr>
        </w:div>
        <w:div w:id="944119687">
          <w:marLeft w:val="360"/>
          <w:marRight w:val="0"/>
          <w:marTop w:val="200"/>
          <w:marBottom w:val="0"/>
          <w:divBdr>
            <w:top w:val="none" w:sz="0" w:space="0" w:color="auto"/>
            <w:left w:val="none" w:sz="0" w:space="0" w:color="auto"/>
            <w:bottom w:val="none" w:sz="0" w:space="0" w:color="auto"/>
            <w:right w:val="none" w:sz="0" w:space="0" w:color="auto"/>
          </w:divBdr>
        </w:div>
        <w:div w:id="1754082272">
          <w:marLeft w:val="1080"/>
          <w:marRight w:val="0"/>
          <w:marTop w:val="100"/>
          <w:marBottom w:val="0"/>
          <w:divBdr>
            <w:top w:val="none" w:sz="0" w:space="0" w:color="auto"/>
            <w:left w:val="none" w:sz="0" w:space="0" w:color="auto"/>
            <w:bottom w:val="none" w:sz="0" w:space="0" w:color="auto"/>
            <w:right w:val="none" w:sz="0" w:space="0" w:color="auto"/>
          </w:divBdr>
        </w:div>
        <w:div w:id="1114791737">
          <w:marLeft w:val="1080"/>
          <w:marRight w:val="0"/>
          <w:marTop w:val="100"/>
          <w:marBottom w:val="0"/>
          <w:divBdr>
            <w:top w:val="none" w:sz="0" w:space="0" w:color="auto"/>
            <w:left w:val="none" w:sz="0" w:space="0" w:color="auto"/>
            <w:bottom w:val="none" w:sz="0" w:space="0" w:color="auto"/>
            <w:right w:val="none" w:sz="0" w:space="0" w:color="auto"/>
          </w:divBdr>
        </w:div>
      </w:divsChild>
    </w:div>
    <w:div w:id="1208226610">
      <w:bodyDiv w:val="1"/>
      <w:marLeft w:val="0"/>
      <w:marRight w:val="0"/>
      <w:marTop w:val="0"/>
      <w:marBottom w:val="0"/>
      <w:divBdr>
        <w:top w:val="none" w:sz="0" w:space="0" w:color="auto"/>
        <w:left w:val="none" w:sz="0" w:space="0" w:color="auto"/>
        <w:bottom w:val="none" w:sz="0" w:space="0" w:color="auto"/>
        <w:right w:val="none" w:sz="0" w:space="0" w:color="auto"/>
      </w:divBdr>
      <w:divsChild>
        <w:div w:id="75913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161227">
              <w:marLeft w:val="0"/>
              <w:marRight w:val="0"/>
              <w:marTop w:val="0"/>
              <w:marBottom w:val="0"/>
              <w:divBdr>
                <w:top w:val="none" w:sz="0" w:space="0" w:color="auto"/>
                <w:left w:val="none" w:sz="0" w:space="0" w:color="auto"/>
                <w:bottom w:val="none" w:sz="0" w:space="0" w:color="auto"/>
                <w:right w:val="none" w:sz="0" w:space="0" w:color="auto"/>
              </w:divBdr>
              <w:divsChild>
                <w:div w:id="2085179522">
                  <w:marLeft w:val="0"/>
                  <w:marRight w:val="0"/>
                  <w:marTop w:val="0"/>
                  <w:marBottom w:val="0"/>
                  <w:divBdr>
                    <w:top w:val="none" w:sz="0" w:space="0" w:color="auto"/>
                    <w:left w:val="none" w:sz="0" w:space="0" w:color="auto"/>
                    <w:bottom w:val="none" w:sz="0" w:space="0" w:color="auto"/>
                    <w:right w:val="none" w:sz="0" w:space="0" w:color="auto"/>
                  </w:divBdr>
                  <w:divsChild>
                    <w:div w:id="1337683855">
                      <w:marLeft w:val="0"/>
                      <w:marRight w:val="0"/>
                      <w:marTop w:val="0"/>
                      <w:marBottom w:val="0"/>
                      <w:divBdr>
                        <w:top w:val="none" w:sz="0" w:space="0" w:color="auto"/>
                        <w:left w:val="none" w:sz="0" w:space="0" w:color="auto"/>
                        <w:bottom w:val="none" w:sz="0" w:space="0" w:color="auto"/>
                        <w:right w:val="none" w:sz="0" w:space="0" w:color="auto"/>
                      </w:divBdr>
                      <w:divsChild>
                        <w:div w:id="2019767832">
                          <w:marLeft w:val="0"/>
                          <w:marRight w:val="0"/>
                          <w:marTop w:val="0"/>
                          <w:marBottom w:val="0"/>
                          <w:divBdr>
                            <w:top w:val="none" w:sz="0" w:space="0" w:color="auto"/>
                            <w:left w:val="none" w:sz="0" w:space="0" w:color="auto"/>
                            <w:bottom w:val="none" w:sz="0" w:space="0" w:color="auto"/>
                            <w:right w:val="none" w:sz="0" w:space="0" w:color="auto"/>
                          </w:divBdr>
                          <w:divsChild>
                            <w:div w:id="1110662947">
                              <w:marLeft w:val="0"/>
                              <w:marRight w:val="0"/>
                              <w:marTop w:val="0"/>
                              <w:marBottom w:val="0"/>
                              <w:divBdr>
                                <w:top w:val="none" w:sz="0" w:space="0" w:color="auto"/>
                                <w:left w:val="none" w:sz="0" w:space="0" w:color="auto"/>
                                <w:bottom w:val="none" w:sz="0" w:space="0" w:color="auto"/>
                                <w:right w:val="none" w:sz="0" w:space="0" w:color="auto"/>
                              </w:divBdr>
                              <w:divsChild>
                                <w:div w:id="1008678457">
                                  <w:marLeft w:val="0"/>
                                  <w:marRight w:val="0"/>
                                  <w:marTop w:val="0"/>
                                  <w:marBottom w:val="0"/>
                                  <w:divBdr>
                                    <w:top w:val="none" w:sz="0" w:space="0" w:color="auto"/>
                                    <w:left w:val="none" w:sz="0" w:space="0" w:color="auto"/>
                                    <w:bottom w:val="none" w:sz="0" w:space="0" w:color="auto"/>
                                    <w:right w:val="none" w:sz="0" w:space="0" w:color="auto"/>
                                  </w:divBdr>
                                  <w:divsChild>
                                    <w:div w:id="8236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765726">
      <w:bodyDiv w:val="1"/>
      <w:marLeft w:val="0"/>
      <w:marRight w:val="0"/>
      <w:marTop w:val="0"/>
      <w:marBottom w:val="0"/>
      <w:divBdr>
        <w:top w:val="none" w:sz="0" w:space="0" w:color="auto"/>
        <w:left w:val="none" w:sz="0" w:space="0" w:color="auto"/>
        <w:bottom w:val="none" w:sz="0" w:space="0" w:color="auto"/>
        <w:right w:val="none" w:sz="0" w:space="0" w:color="auto"/>
      </w:divBdr>
    </w:div>
    <w:div w:id="1548177018">
      <w:bodyDiv w:val="1"/>
      <w:marLeft w:val="0"/>
      <w:marRight w:val="0"/>
      <w:marTop w:val="0"/>
      <w:marBottom w:val="0"/>
      <w:divBdr>
        <w:top w:val="none" w:sz="0" w:space="0" w:color="auto"/>
        <w:left w:val="none" w:sz="0" w:space="0" w:color="auto"/>
        <w:bottom w:val="none" w:sz="0" w:space="0" w:color="auto"/>
        <w:right w:val="none" w:sz="0" w:space="0" w:color="auto"/>
      </w:divBdr>
      <w:divsChild>
        <w:div w:id="106630998">
          <w:marLeft w:val="1080"/>
          <w:marRight w:val="0"/>
          <w:marTop w:val="100"/>
          <w:marBottom w:val="0"/>
          <w:divBdr>
            <w:top w:val="none" w:sz="0" w:space="0" w:color="auto"/>
            <w:left w:val="none" w:sz="0" w:space="0" w:color="auto"/>
            <w:bottom w:val="none" w:sz="0" w:space="0" w:color="auto"/>
            <w:right w:val="none" w:sz="0" w:space="0" w:color="auto"/>
          </w:divBdr>
        </w:div>
        <w:div w:id="341131146">
          <w:marLeft w:val="1080"/>
          <w:marRight w:val="0"/>
          <w:marTop w:val="100"/>
          <w:marBottom w:val="0"/>
          <w:divBdr>
            <w:top w:val="none" w:sz="0" w:space="0" w:color="auto"/>
            <w:left w:val="none" w:sz="0" w:space="0" w:color="auto"/>
            <w:bottom w:val="none" w:sz="0" w:space="0" w:color="auto"/>
            <w:right w:val="none" w:sz="0" w:space="0" w:color="auto"/>
          </w:divBdr>
        </w:div>
        <w:div w:id="844710275">
          <w:marLeft w:val="1080"/>
          <w:marRight w:val="0"/>
          <w:marTop w:val="100"/>
          <w:marBottom w:val="0"/>
          <w:divBdr>
            <w:top w:val="none" w:sz="0" w:space="0" w:color="auto"/>
            <w:left w:val="none" w:sz="0" w:space="0" w:color="auto"/>
            <w:bottom w:val="none" w:sz="0" w:space="0" w:color="auto"/>
            <w:right w:val="none" w:sz="0" w:space="0" w:color="auto"/>
          </w:divBdr>
        </w:div>
        <w:div w:id="1189182114">
          <w:marLeft w:val="1080"/>
          <w:marRight w:val="0"/>
          <w:marTop w:val="100"/>
          <w:marBottom w:val="0"/>
          <w:divBdr>
            <w:top w:val="none" w:sz="0" w:space="0" w:color="auto"/>
            <w:left w:val="none" w:sz="0" w:space="0" w:color="auto"/>
            <w:bottom w:val="none" w:sz="0" w:space="0" w:color="auto"/>
            <w:right w:val="none" w:sz="0" w:space="0" w:color="auto"/>
          </w:divBdr>
        </w:div>
        <w:div w:id="1311596977">
          <w:marLeft w:val="1080"/>
          <w:marRight w:val="0"/>
          <w:marTop w:val="100"/>
          <w:marBottom w:val="0"/>
          <w:divBdr>
            <w:top w:val="none" w:sz="0" w:space="0" w:color="auto"/>
            <w:left w:val="none" w:sz="0" w:space="0" w:color="auto"/>
            <w:bottom w:val="none" w:sz="0" w:space="0" w:color="auto"/>
            <w:right w:val="none" w:sz="0" w:space="0" w:color="auto"/>
          </w:divBdr>
        </w:div>
        <w:div w:id="1629629275">
          <w:marLeft w:val="1080"/>
          <w:marRight w:val="0"/>
          <w:marTop w:val="100"/>
          <w:marBottom w:val="0"/>
          <w:divBdr>
            <w:top w:val="none" w:sz="0" w:space="0" w:color="auto"/>
            <w:left w:val="none" w:sz="0" w:space="0" w:color="auto"/>
            <w:bottom w:val="none" w:sz="0" w:space="0" w:color="auto"/>
            <w:right w:val="none" w:sz="0" w:space="0" w:color="auto"/>
          </w:divBdr>
        </w:div>
      </w:divsChild>
    </w:div>
    <w:div w:id="1632637397">
      <w:bodyDiv w:val="1"/>
      <w:marLeft w:val="0"/>
      <w:marRight w:val="0"/>
      <w:marTop w:val="0"/>
      <w:marBottom w:val="0"/>
      <w:divBdr>
        <w:top w:val="none" w:sz="0" w:space="0" w:color="auto"/>
        <w:left w:val="none" w:sz="0" w:space="0" w:color="auto"/>
        <w:bottom w:val="none" w:sz="0" w:space="0" w:color="auto"/>
        <w:right w:val="none" w:sz="0" w:space="0" w:color="auto"/>
      </w:divBdr>
      <w:divsChild>
        <w:div w:id="536817426">
          <w:marLeft w:val="1080"/>
          <w:marRight w:val="0"/>
          <w:marTop w:val="100"/>
          <w:marBottom w:val="0"/>
          <w:divBdr>
            <w:top w:val="none" w:sz="0" w:space="0" w:color="auto"/>
            <w:left w:val="none" w:sz="0" w:space="0" w:color="auto"/>
            <w:bottom w:val="none" w:sz="0" w:space="0" w:color="auto"/>
            <w:right w:val="none" w:sz="0" w:space="0" w:color="auto"/>
          </w:divBdr>
        </w:div>
      </w:divsChild>
    </w:div>
    <w:div w:id="1678773342">
      <w:bodyDiv w:val="1"/>
      <w:marLeft w:val="0"/>
      <w:marRight w:val="0"/>
      <w:marTop w:val="0"/>
      <w:marBottom w:val="0"/>
      <w:divBdr>
        <w:top w:val="none" w:sz="0" w:space="0" w:color="auto"/>
        <w:left w:val="none" w:sz="0" w:space="0" w:color="auto"/>
        <w:bottom w:val="none" w:sz="0" w:space="0" w:color="auto"/>
        <w:right w:val="none" w:sz="0" w:space="0" w:color="auto"/>
      </w:divBdr>
      <w:divsChild>
        <w:div w:id="1266037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221406">
              <w:marLeft w:val="0"/>
              <w:marRight w:val="0"/>
              <w:marTop w:val="0"/>
              <w:marBottom w:val="0"/>
              <w:divBdr>
                <w:top w:val="none" w:sz="0" w:space="0" w:color="auto"/>
                <w:left w:val="none" w:sz="0" w:space="0" w:color="auto"/>
                <w:bottom w:val="none" w:sz="0" w:space="0" w:color="auto"/>
                <w:right w:val="none" w:sz="0" w:space="0" w:color="auto"/>
              </w:divBdr>
              <w:divsChild>
                <w:div w:id="1010058669">
                  <w:marLeft w:val="0"/>
                  <w:marRight w:val="0"/>
                  <w:marTop w:val="0"/>
                  <w:marBottom w:val="0"/>
                  <w:divBdr>
                    <w:top w:val="none" w:sz="0" w:space="0" w:color="auto"/>
                    <w:left w:val="none" w:sz="0" w:space="0" w:color="auto"/>
                    <w:bottom w:val="none" w:sz="0" w:space="0" w:color="auto"/>
                    <w:right w:val="none" w:sz="0" w:space="0" w:color="auto"/>
                  </w:divBdr>
                  <w:divsChild>
                    <w:div w:id="136814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488102">
      <w:bodyDiv w:val="1"/>
      <w:marLeft w:val="0"/>
      <w:marRight w:val="0"/>
      <w:marTop w:val="0"/>
      <w:marBottom w:val="0"/>
      <w:divBdr>
        <w:top w:val="none" w:sz="0" w:space="0" w:color="auto"/>
        <w:left w:val="none" w:sz="0" w:space="0" w:color="auto"/>
        <w:bottom w:val="none" w:sz="0" w:space="0" w:color="auto"/>
        <w:right w:val="none" w:sz="0" w:space="0" w:color="auto"/>
      </w:divBdr>
      <w:divsChild>
        <w:div w:id="2083788888">
          <w:marLeft w:val="360"/>
          <w:marRight w:val="0"/>
          <w:marTop w:val="200"/>
          <w:marBottom w:val="0"/>
          <w:divBdr>
            <w:top w:val="none" w:sz="0" w:space="0" w:color="auto"/>
            <w:left w:val="none" w:sz="0" w:space="0" w:color="auto"/>
            <w:bottom w:val="none" w:sz="0" w:space="0" w:color="auto"/>
            <w:right w:val="none" w:sz="0" w:space="0" w:color="auto"/>
          </w:divBdr>
        </w:div>
      </w:divsChild>
    </w:div>
    <w:div w:id="1849367817">
      <w:bodyDiv w:val="1"/>
      <w:marLeft w:val="0"/>
      <w:marRight w:val="0"/>
      <w:marTop w:val="0"/>
      <w:marBottom w:val="0"/>
      <w:divBdr>
        <w:top w:val="none" w:sz="0" w:space="0" w:color="auto"/>
        <w:left w:val="none" w:sz="0" w:space="0" w:color="auto"/>
        <w:bottom w:val="none" w:sz="0" w:space="0" w:color="auto"/>
        <w:right w:val="none" w:sz="0" w:space="0" w:color="auto"/>
      </w:divBdr>
      <w:divsChild>
        <w:div w:id="416246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2612330">
              <w:marLeft w:val="0"/>
              <w:marRight w:val="0"/>
              <w:marTop w:val="0"/>
              <w:marBottom w:val="0"/>
              <w:divBdr>
                <w:top w:val="none" w:sz="0" w:space="0" w:color="auto"/>
                <w:left w:val="none" w:sz="0" w:space="0" w:color="auto"/>
                <w:bottom w:val="none" w:sz="0" w:space="0" w:color="auto"/>
                <w:right w:val="none" w:sz="0" w:space="0" w:color="auto"/>
              </w:divBdr>
              <w:divsChild>
                <w:div w:id="1366784040">
                  <w:marLeft w:val="0"/>
                  <w:marRight w:val="0"/>
                  <w:marTop w:val="0"/>
                  <w:marBottom w:val="0"/>
                  <w:divBdr>
                    <w:top w:val="none" w:sz="0" w:space="0" w:color="auto"/>
                    <w:left w:val="none" w:sz="0" w:space="0" w:color="auto"/>
                    <w:bottom w:val="none" w:sz="0" w:space="0" w:color="auto"/>
                    <w:right w:val="none" w:sz="0" w:space="0" w:color="auto"/>
                  </w:divBdr>
                  <w:divsChild>
                    <w:div w:id="315643715">
                      <w:marLeft w:val="0"/>
                      <w:marRight w:val="0"/>
                      <w:marTop w:val="0"/>
                      <w:marBottom w:val="0"/>
                      <w:divBdr>
                        <w:top w:val="none" w:sz="0" w:space="0" w:color="auto"/>
                        <w:left w:val="none" w:sz="0" w:space="0" w:color="auto"/>
                        <w:bottom w:val="none" w:sz="0" w:space="0" w:color="auto"/>
                        <w:right w:val="none" w:sz="0" w:space="0" w:color="auto"/>
                      </w:divBdr>
                      <w:divsChild>
                        <w:div w:id="173611934">
                          <w:marLeft w:val="0"/>
                          <w:marRight w:val="0"/>
                          <w:marTop w:val="0"/>
                          <w:marBottom w:val="0"/>
                          <w:divBdr>
                            <w:top w:val="none" w:sz="0" w:space="0" w:color="auto"/>
                            <w:left w:val="none" w:sz="0" w:space="0" w:color="auto"/>
                            <w:bottom w:val="none" w:sz="0" w:space="0" w:color="auto"/>
                            <w:right w:val="none" w:sz="0" w:space="0" w:color="auto"/>
                          </w:divBdr>
                          <w:divsChild>
                            <w:div w:id="423650978">
                              <w:marLeft w:val="0"/>
                              <w:marRight w:val="0"/>
                              <w:marTop w:val="0"/>
                              <w:marBottom w:val="0"/>
                              <w:divBdr>
                                <w:top w:val="none" w:sz="0" w:space="0" w:color="auto"/>
                                <w:left w:val="none" w:sz="0" w:space="0" w:color="auto"/>
                                <w:bottom w:val="none" w:sz="0" w:space="0" w:color="auto"/>
                                <w:right w:val="none" w:sz="0" w:space="0" w:color="auto"/>
                              </w:divBdr>
                              <w:divsChild>
                                <w:div w:id="5863847">
                                  <w:marLeft w:val="0"/>
                                  <w:marRight w:val="0"/>
                                  <w:marTop w:val="0"/>
                                  <w:marBottom w:val="0"/>
                                  <w:divBdr>
                                    <w:top w:val="none" w:sz="0" w:space="0" w:color="auto"/>
                                    <w:left w:val="none" w:sz="0" w:space="0" w:color="auto"/>
                                    <w:bottom w:val="none" w:sz="0" w:space="0" w:color="auto"/>
                                    <w:right w:val="none" w:sz="0" w:space="0" w:color="auto"/>
                                  </w:divBdr>
                                  <w:divsChild>
                                    <w:div w:id="76056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3610008">
      <w:bodyDiv w:val="1"/>
      <w:marLeft w:val="0"/>
      <w:marRight w:val="0"/>
      <w:marTop w:val="0"/>
      <w:marBottom w:val="0"/>
      <w:divBdr>
        <w:top w:val="none" w:sz="0" w:space="0" w:color="auto"/>
        <w:left w:val="none" w:sz="0" w:space="0" w:color="auto"/>
        <w:bottom w:val="none" w:sz="0" w:space="0" w:color="auto"/>
        <w:right w:val="none" w:sz="0" w:space="0" w:color="auto"/>
      </w:divBdr>
    </w:div>
    <w:div w:id="214115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2A54D-E546-43F6-BB5C-C1EE6155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cp:revision>
  <dcterms:created xsi:type="dcterms:W3CDTF">2021-08-06T19:49:00Z</dcterms:created>
  <dcterms:modified xsi:type="dcterms:W3CDTF">2021-08-06T19:51:00Z</dcterms:modified>
</cp:coreProperties>
</file>